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10485" w14:textId="591B71AE" w:rsidR="0052666E" w:rsidRPr="00526DF8" w:rsidRDefault="0052666E" w:rsidP="004B4E98">
      <w:pPr>
        <w:jc w:val="both"/>
        <w:rPr>
          <w:b/>
          <w:i/>
        </w:rPr>
      </w:pPr>
      <w:r w:rsidRPr="000A7932">
        <w:rPr>
          <w:b/>
          <w:i/>
        </w:rPr>
        <w:t>Project Title</w:t>
      </w:r>
      <w:r w:rsidRPr="00D72CB7">
        <w:rPr>
          <w:i/>
        </w:rPr>
        <w:t xml:space="preserve">: </w:t>
      </w:r>
      <w:r w:rsidR="00F21D38">
        <w:t>Assessment of Migratory Waterfowl Populations and Native Wetland Plant Remnants in the Lower Green Bay and Fox River AOC (</w:t>
      </w:r>
      <w:r w:rsidR="00E863FB">
        <w:t>Complement</w:t>
      </w:r>
      <w:r w:rsidR="00EB376C" w:rsidRPr="00EB376C">
        <w:t xml:space="preserve"> to </w:t>
      </w:r>
      <w:proofErr w:type="gramStart"/>
      <w:r w:rsidR="00EB376C">
        <w:t>Phase</w:t>
      </w:r>
      <w:proofErr w:type="gramEnd"/>
      <w:r w:rsidR="00EB376C">
        <w:t xml:space="preserve"> 2</w:t>
      </w:r>
      <w:r w:rsidR="001C6B6E" w:rsidRPr="001C6B6E">
        <w:t xml:space="preserve"> of the</w:t>
      </w:r>
      <w:r w:rsidR="001C6B6E">
        <w:rPr>
          <w:i/>
        </w:rPr>
        <w:t xml:space="preserve"> </w:t>
      </w:r>
      <w:r w:rsidR="001C6B6E">
        <w:t>Fish and Wildlife Habitat and Population Assessment</w:t>
      </w:r>
      <w:r w:rsidR="00F21D38">
        <w:t>)</w:t>
      </w:r>
    </w:p>
    <w:p w14:paraId="2B2B00D7" w14:textId="77777777" w:rsidR="0021482D" w:rsidRDefault="0021482D" w:rsidP="0087689F">
      <w:pPr>
        <w:spacing w:line="360" w:lineRule="auto"/>
        <w:rPr>
          <w:b/>
          <w:i/>
        </w:rPr>
      </w:pPr>
    </w:p>
    <w:p w14:paraId="06873F75" w14:textId="178BAE5E" w:rsidR="00D72CB7" w:rsidRDefault="00254FAC" w:rsidP="0087689F">
      <w:pPr>
        <w:spacing w:line="360" w:lineRule="auto"/>
        <w:rPr>
          <w:b/>
          <w:u w:val="single"/>
        </w:rPr>
      </w:pPr>
      <w:r>
        <w:rPr>
          <w:b/>
          <w:i/>
        </w:rPr>
        <w:t>Fiscal Agent</w:t>
      </w:r>
      <w:r w:rsidR="00D72CB7" w:rsidRPr="00D72CB7">
        <w:rPr>
          <w:i/>
        </w:rPr>
        <w:t>:</w:t>
      </w:r>
      <w:r w:rsidR="00D72CB7">
        <w:t xml:space="preserve"> </w:t>
      </w:r>
    </w:p>
    <w:p w14:paraId="0A9E5EBE" w14:textId="77777777" w:rsidR="00BF24C5" w:rsidRPr="00B81224" w:rsidRDefault="00BF24C5" w:rsidP="00BF24C5">
      <w:pPr>
        <w:ind w:firstLine="720"/>
        <w:rPr>
          <w:b/>
          <w:u w:val="single"/>
        </w:rPr>
      </w:pPr>
      <w:r>
        <w:t xml:space="preserve">University of Wisconsin-Green Bay, </w:t>
      </w:r>
      <w:proofErr w:type="spellStart"/>
      <w:r>
        <w:t>Cofrin</w:t>
      </w:r>
      <w:proofErr w:type="spellEnd"/>
      <w:r>
        <w:t xml:space="preserve"> Center for Biodiversity</w:t>
      </w:r>
    </w:p>
    <w:p w14:paraId="78A56334" w14:textId="79B0F2B3" w:rsidR="00BF24C5" w:rsidRDefault="00BF24C5" w:rsidP="00BF24C5">
      <w:pPr>
        <w:ind w:left="720"/>
      </w:pPr>
      <w:r>
        <w:t>Dr. Robert Howe</w:t>
      </w:r>
      <w:r w:rsidR="00BD526A">
        <w:t xml:space="preserve">, </w:t>
      </w:r>
      <w:r>
        <w:t>Dr. Amy Wolf</w:t>
      </w:r>
      <w:r w:rsidR="00BD526A">
        <w:t>, and Erin Giese</w:t>
      </w:r>
    </w:p>
    <w:p w14:paraId="7BDBCD54" w14:textId="77777777" w:rsidR="00BF24C5" w:rsidRDefault="00BF24C5" w:rsidP="00BF24C5">
      <w:pPr>
        <w:ind w:left="720"/>
      </w:pPr>
      <w:r w:rsidRPr="00621CFA">
        <w:t xml:space="preserve">Mary Ann </w:t>
      </w:r>
      <w:proofErr w:type="spellStart"/>
      <w:r w:rsidRPr="00621CFA">
        <w:t>Cofrin</w:t>
      </w:r>
      <w:proofErr w:type="spellEnd"/>
      <w:r w:rsidRPr="00621CFA">
        <w:t xml:space="preserve"> Hall 212</w:t>
      </w:r>
      <w:r>
        <w:t xml:space="preserve">, </w:t>
      </w:r>
      <w:r w:rsidRPr="00621CFA">
        <w:t>2420 Nicolet Drive</w:t>
      </w:r>
      <w:r>
        <w:t xml:space="preserve">, </w:t>
      </w:r>
      <w:r w:rsidRPr="00621CFA">
        <w:t>Green Bay, WI 54311-7001</w:t>
      </w:r>
    </w:p>
    <w:p w14:paraId="3A611111" w14:textId="77777777" w:rsidR="00BF24C5" w:rsidRPr="00B167B2" w:rsidRDefault="00BF24C5" w:rsidP="00BF24C5">
      <w:pPr>
        <w:ind w:left="720"/>
        <w:rPr>
          <w:b/>
        </w:rPr>
      </w:pPr>
      <w:r>
        <w:t>(920) 465-2272 (Howe); (920) 465-5030 (Wolf)</w:t>
      </w:r>
    </w:p>
    <w:p w14:paraId="38D89543" w14:textId="55D0AC33" w:rsidR="00BF24C5" w:rsidRPr="006E3A2E" w:rsidRDefault="00384F6D" w:rsidP="00BF24C5">
      <w:pPr>
        <w:ind w:left="720"/>
        <w:rPr>
          <w:bCs/>
        </w:rPr>
      </w:pPr>
      <w:hyperlink r:id="rId9" w:history="1">
        <w:r w:rsidR="00BF24C5" w:rsidRPr="009A4226">
          <w:rPr>
            <w:rStyle w:val="Hyperlink"/>
            <w:bCs/>
          </w:rPr>
          <w:t>hower@uwgb.edu</w:t>
        </w:r>
      </w:hyperlink>
      <w:r w:rsidR="00BF24C5">
        <w:rPr>
          <w:bCs/>
        </w:rPr>
        <w:t xml:space="preserve"> (Howe); </w:t>
      </w:r>
      <w:hyperlink r:id="rId10" w:history="1">
        <w:r w:rsidR="00BF24C5" w:rsidRPr="009A4226">
          <w:rPr>
            <w:rStyle w:val="Hyperlink"/>
            <w:bCs/>
          </w:rPr>
          <w:t>wolfa@uwgb.edu</w:t>
        </w:r>
      </w:hyperlink>
      <w:r w:rsidR="00BF24C5">
        <w:rPr>
          <w:bCs/>
        </w:rPr>
        <w:t xml:space="preserve"> (Wolf)</w:t>
      </w:r>
      <w:r w:rsidR="007F05B8">
        <w:rPr>
          <w:bCs/>
        </w:rPr>
        <w:t xml:space="preserve">; </w:t>
      </w:r>
      <w:hyperlink r:id="rId11" w:history="1">
        <w:r w:rsidR="009E5EDE" w:rsidRPr="00E32AED">
          <w:rPr>
            <w:rStyle w:val="Hyperlink"/>
            <w:bCs/>
          </w:rPr>
          <w:t>giesee@uwgb.edu</w:t>
        </w:r>
      </w:hyperlink>
      <w:r w:rsidR="009E5EDE">
        <w:rPr>
          <w:bCs/>
        </w:rPr>
        <w:t xml:space="preserve"> (Giese)</w:t>
      </w:r>
    </w:p>
    <w:p w14:paraId="78416EF2" w14:textId="77777777" w:rsidR="001B6FD3" w:rsidRDefault="001B6FD3" w:rsidP="0052666E"/>
    <w:p w14:paraId="15B8D8B0" w14:textId="196F2E51" w:rsidR="00D72CB7" w:rsidRPr="00526DF8" w:rsidRDefault="0052666E" w:rsidP="0052666E">
      <w:r w:rsidRPr="000A7932">
        <w:rPr>
          <w:b/>
          <w:i/>
        </w:rPr>
        <w:t>DUNS#</w:t>
      </w:r>
      <w:r w:rsidRPr="00D72CB7">
        <w:rPr>
          <w:i/>
        </w:rPr>
        <w:t>:</w:t>
      </w:r>
      <w:r w:rsidRPr="00D72CB7">
        <w:t xml:space="preserve"> </w:t>
      </w:r>
      <w:r w:rsidR="00CD431F">
        <w:t xml:space="preserve"> </w:t>
      </w:r>
      <w:r w:rsidR="00BF24C5" w:rsidRPr="00BF24C5">
        <w:t>782431803</w:t>
      </w:r>
    </w:p>
    <w:p w14:paraId="7686D6E6" w14:textId="77777777" w:rsidR="00BF24C5" w:rsidRDefault="00BF24C5" w:rsidP="0025109E">
      <w:pPr>
        <w:rPr>
          <w:b/>
          <w:i/>
        </w:rPr>
      </w:pPr>
    </w:p>
    <w:p w14:paraId="6F5D9920" w14:textId="2B4CE292" w:rsidR="0025109E" w:rsidRPr="00526DF8" w:rsidRDefault="0025109E" w:rsidP="0025109E">
      <w:pPr>
        <w:rPr>
          <w:b/>
        </w:rPr>
      </w:pPr>
      <w:r w:rsidRPr="000A7932">
        <w:rPr>
          <w:b/>
          <w:i/>
        </w:rPr>
        <w:t>Project Location</w:t>
      </w:r>
      <w:r w:rsidRPr="00D72CB7">
        <w:rPr>
          <w:i/>
        </w:rPr>
        <w:t>:</w:t>
      </w:r>
      <w:r w:rsidRPr="00526DF8">
        <w:rPr>
          <w:b/>
        </w:rPr>
        <w:t xml:space="preserve">  </w:t>
      </w:r>
      <w:r w:rsidR="0095006C" w:rsidRPr="0095006C">
        <w:rPr>
          <w:rFonts w:cstheme="minorHAnsi"/>
        </w:rPr>
        <w:t>Lower Green Bay and Fox River</w:t>
      </w:r>
      <w:r w:rsidR="000A7932">
        <w:rPr>
          <w:rFonts w:cstheme="minorHAnsi"/>
        </w:rPr>
        <w:t xml:space="preserve"> Area of Concern </w:t>
      </w:r>
      <w:r w:rsidR="000A7932">
        <w:t>(Brown County, WI)</w:t>
      </w:r>
    </w:p>
    <w:p w14:paraId="74C84703" w14:textId="77777777" w:rsidR="0052666E" w:rsidRPr="00526DF8" w:rsidRDefault="007D5108" w:rsidP="0052666E">
      <w:r w:rsidRPr="00526DF8">
        <w:rPr>
          <w:b/>
          <w:bCs/>
        </w:rPr>
        <w:t xml:space="preserve"> </w:t>
      </w:r>
      <w:r w:rsidR="0025109E" w:rsidRPr="00526DF8">
        <w:rPr>
          <w:b/>
          <w:bCs/>
        </w:rPr>
        <w:t xml:space="preserve"> </w:t>
      </w:r>
    </w:p>
    <w:p w14:paraId="18AEF6D9" w14:textId="35C34DE9" w:rsidR="00D8444F" w:rsidRDefault="00ED5334" w:rsidP="00140351">
      <w:pPr>
        <w:spacing w:line="360" w:lineRule="auto"/>
        <w:jc w:val="both"/>
        <w:rPr>
          <w:b/>
          <w:i/>
        </w:rPr>
      </w:pPr>
      <w:r>
        <w:rPr>
          <w:b/>
          <w:i/>
        </w:rPr>
        <w:t>Proposed Work</w:t>
      </w:r>
      <w:r w:rsidR="00D8444F">
        <w:rPr>
          <w:b/>
          <w:i/>
        </w:rPr>
        <w:t>:</w:t>
      </w:r>
    </w:p>
    <w:p w14:paraId="1922B0F3" w14:textId="3D673F43" w:rsidR="00BD7E95" w:rsidRDefault="00D8444F" w:rsidP="00140351">
      <w:pPr>
        <w:jc w:val="both"/>
      </w:pPr>
      <w:r w:rsidRPr="00D8444F">
        <w:t xml:space="preserve">Migratory </w:t>
      </w:r>
      <w:r>
        <w:t>waterfowl comprise o</w:t>
      </w:r>
      <w:r w:rsidR="009119AB">
        <w:t>ne of the most historically, culturally, and economically important elements of the Green Bay ecosystem</w:t>
      </w:r>
      <w:r>
        <w:t>.</w:t>
      </w:r>
      <w:r w:rsidR="00D33239">
        <w:t xml:space="preserve"> Prince et al. (1992) estimated that 12% of the breeding pairs of dabbling ducks in the entire Great Lakes occur in Green Bay, along with by far the highest concentrations of migratory diving ducks in Lake Michigan. </w:t>
      </w:r>
      <w:proofErr w:type="spellStart"/>
      <w:r w:rsidR="00D33239">
        <w:t>Connett</w:t>
      </w:r>
      <w:proofErr w:type="spellEnd"/>
      <w:r w:rsidR="00D33239">
        <w:t xml:space="preserve"> (1949), Stiller (1994)</w:t>
      </w:r>
      <w:r w:rsidR="00DA557F">
        <w:t>,</w:t>
      </w:r>
      <w:r w:rsidR="00D33239">
        <w:t xml:space="preserve"> and others described spectacular numbers of migratory ducks in Green Bay, supporting a thriving waterfowl harvest between </w:t>
      </w:r>
      <w:r w:rsidR="00BD7E95">
        <w:t xml:space="preserve">the 1870s and early 1900s (Harris 1998); even today, Green Bay continues to provide an important recreational opportunity for hunters and birdwatchers. </w:t>
      </w:r>
      <w:r w:rsidR="00E0366D">
        <w:t>Harris (1998) documented a dramatic rise in numbers of mollusk-feeding diving ducks, especially goldeneye (</w:t>
      </w:r>
      <w:proofErr w:type="spellStart"/>
      <w:r w:rsidR="00E0366D" w:rsidRPr="00E0366D">
        <w:rPr>
          <w:i/>
        </w:rPr>
        <w:t>Bucephala</w:t>
      </w:r>
      <w:proofErr w:type="spellEnd"/>
      <w:r w:rsidR="00E0366D" w:rsidRPr="00E0366D">
        <w:rPr>
          <w:i/>
        </w:rPr>
        <w:t xml:space="preserve"> </w:t>
      </w:r>
      <w:r w:rsidR="00B914B4" w:rsidRPr="00B914B4">
        <w:t>spp</w:t>
      </w:r>
      <w:r w:rsidR="00B914B4">
        <w:rPr>
          <w:i/>
        </w:rPr>
        <w:t>.</w:t>
      </w:r>
      <w:r w:rsidR="00E0366D">
        <w:t xml:space="preserve">) and </w:t>
      </w:r>
      <w:proofErr w:type="spellStart"/>
      <w:r w:rsidR="00E0366D">
        <w:t>scaup</w:t>
      </w:r>
      <w:proofErr w:type="spellEnd"/>
      <w:r w:rsidR="00E0366D">
        <w:t xml:space="preserve"> (</w:t>
      </w:r>
      <w:proofErr w:type="spellStart"/>
      <w:r w:rsidR="00E0366D" w:rsidRPr="00E0366D">
        <w:rPr>
          <w:i/>
        </w:rPr>
        <w:t>Aythya</w:t>
      </w:r>
      <w:proofErr w:type="spellEnd"/>
      <w:r w:rsidR="00E0366D">
        <w:t xml:space="preserve"> spp.), following the invasion of </w:t>
      </w:r>
      <w:proofErr w:type="spellStart"/>
      <w:r w:rsidR="00E0366D" w:rsidRPr="00E0366D">
        <w:t>dreissenid</w:t>
      </w:r>
      <w:proofErr w:type="spellEnd"/>
      <w:r w:rsidR="00E0366D">
        <w:t xml:space="preserve"> mussels in the 1990s. This increase </w:t>
      </w:r>
      <w:r w:rsidR="000D0808">
        <w:t xml:space="preserve">in diving duck numbers </w:t>
      </w:r>
      <w:r w:rsidR="00E0366D">
        <w:t>was accompanied by a spatial shift in duck concentrations, leading to large rafts of ducks in shallow rock/gravel shoals where zebra mussels (</w:t>
      </w:r>
      <w:proofErr w:type="spellStart"/>
      <w:r w:rsidR="00E0366D" w:rsidRPr="00FD114B">
        <w:rPr>
          <w:i/>
        </w:rPr>
        <w:t>Dreissena</w:t>
      </w:r>
      <w:proofErr w:type="spellEnd"/>
      <w:r w:rsidR="00E0366D" w:rsidRPr="00FD114B">
        <w:rPr>
          <w:i/>
        </w:rPr>
        <w:t xml:space="preserve"> </w:t>
      </w:r>
      <w:proofErr w:type="spellStart"/>
      <w:r w:rsidR="00FD114B" w:rsidRPr="00FD114B">
        <w:rPr>
          <w:i/>
        </w:rPr>
        <w:t>polymorpha</w:t>
      </w:r>
      <w:proofErr w:type="spellEnd"/>
      <w:r w:rsidR="00FD114B">
        <w:t xml:space="preserve">) or </w:t>
      </w:r>
      <w:r w:rsidR="00E0366D">
        <w:t xml:space="preserve">quagga mussels </w:t>
      </w:r>
      <w:r w:rsidR="00FD114B">
        <w:t>(</w:t>
      </w:r>
      <w:proofErr w:type="spellStart"/>
      <w:r w:rsidR="00FD114B" w:rsidRPr="00FD114B">
        <w:rPr>
          <w:i/>
        </w:rPr>
        <w:t>Dreissena</w:t>
      </w:r>
      <w:proofErr w:type="spellEnd"/>
      <w:r w:rsidR="00FD114B" w:rsidRPr="00FD114B">
        <w:rPr>
          <w:i/>
        </w:rPr>
        <w:t xml:space="preserve"> </w:t>
      </w:r>
      <w:proofErr w:type="spellStart"/>
      <w:r w:rsidR="00FD114B" w:rsidRPr="00FD114B">
        <w:rPr>
          <w:i/>
        </w:rPr>
        <w:t>rostriformis</w:t>
      </w:r>
      <w:proofErr w:type="spellEnd"/>
      <w:r w:rsidR="00FD114B" w:rsidRPr="00FD114B">
        <w:rPr>
          <w:i/>
        </w:rPr>
        <w:t xml:space="preserve"> </w:t>
      </w:r>
      <w:proofErr w:type="spellStart"/>
      <w:r w:rsidR="00FD114B" w:rsidRPr="00FD114B">
        <w:rPr>
          <w:i/>
        </w:rPr>
        <w:t>bugensis</w:t>
      </w:r>
      <w:proofErr w:type="spellEnd"/>
      <w:r w:rsidR="00FD114B">
        <w:t xml:space="preserve">) </w:t>
      </w:r>
      <w:r w:rsidR="00E0366D">
        <w:t>are abundant</w:t>
      </w:r>
      <w:r w:rsidR="000D0808">
        <w:t xml:space="preserve"> (Harris 1998)</w:t>
      </w:r>
      <w:r w:rsidR="00E0366D">
        <w:t xml:space="preserve">.     </w:t>
      </w:r>
    </w:p>
    <w:p w14:paraId="2DC86A80" w14:textId="77777777" w:rsidR="00BD7E95" w:rsidRDefault="00BD7E95" w:rsidP="00140351">
      <w:pPr>
        <w:jc w:val="both"/>
      </w:pPr>
    </w:p>
    <w:p w14:paraId="289055BE" w14:textId="450BEB72" w:rsidR="00737E6B" w:rsidRDefault="00FD114B" w:rsidP="00140351">
      <w:pPr>
        <w:jc w:val="both"/>
      </w:pPr>
      <w:r>
        <w:t xml:space="preserve">Despite the importance of waterfowl to the region and recognition in the Lower Green Bay and Fox River Area of Concern’s </w:t>
      </w:r>
      <w:r w:rsidR="00B914B4" w:rsidRPr="00B914B4">
        <w:t xml:space="preserve">(LGB&amp;FR AOC) </w:t>
      </w:r>
      <w:r>
        <w:t>Remedial Action Plan, s</w:t>
      </w:r>
      <w:r w:rsidR="00D92F38">
        <w:t>urprisingly, few studies have quantified waterfowl use in Green Bay</w:t>
      </w:r>
      <w:r>
        <w:t xml:space="preserve">. No systematic monitoring of </w:t>
      </w:r>
      <w:r w:rsidR="00737E6B">
        <w:t>migratory waterfowl in the Bay has been established</w:t>
      </w:r>
      <w:r w:rsidR="00D92F38">
        <w:t>.</w:t>
      </w:r>
      <w:r>
        <w:t xml:space="preserve"> Patterns described by Harris (1998) seem to</w:t>
      </w:r>
      <w:r w:rsidR="00737E6B">
        <w:t xml:space="preserve"> </w:t>
      </w:r>
      <w:r w:rsidR="009E7CE3">
        <w:t>be continuing</w:t>
      </w:r>
      <w:r w:rsidR="00737E6B">
        <w:t xml:space="preserve">, but a quantitative, cost-effective monitoring plan is badly needed to identify potential management actions and to assess the success or failure of restoration efforts. </w:t>
      </w:r>
    </w:p>
    <w:p w14:paraId="5A1FB805" w14:textId="77777777" w:rsidR="00737E6B" w:rsidRDefault="00737E6B" w:rsidP="00140351">
      <w:pPr>
        <w:jc w:val="both"/>
      </w:pPr>
    </w:p>
    <w:p w14:paraId="2954AB15" w14:textId="1D923EEB" w:rsidR="009119AB" w:rsidRPr="00D8444F" w:rsidRDefault="00D55DB1" w:rsidP="00140351">
      <w:pPr>
        <w:jc w:val="both"/>
        <w:rPr>
          <w:b/>
          <w:i/>
        </w:rPr>
      </w:pPr>
      <w:r>
        <w:t xml:space="preserve">Plant foods for waterfowl and other </w:t>
      </w:r>
      <w:r w:rsidR="00936BA9">
        <w:t>wetland wildlife</w:t>
      </w:r>
      <w:r>
        <w:t xml:space="preserve">, on the other hand, have declined severely in the </w:t>
      </w:r>
      <w:r w:rsidR="00B914B4" w:rsidRPr="00B914B4">
        <w:t>LGB&amp;FR AOC</w:t>
      </w:r>
      <w:r>
        <w:t xml:space="preserve">. Surveys by University of </w:t>
      </w:r>
      <w:r w:rsidR="00B914B4">
        <w:t>Wisconsin-</w:t>
      </w:r>
      <w:r>
        <w:t xml:space="preserve">Green Bay botanists during 2015 and 2016 have shown that many areas where invasive </w:t>
      </w:r>
      <w:proofErr w:type="spellStart"/>
      <w:r w:rsidRPr="00D55DB1">
        <w:rPr>
          <w:i/>
        </w:rPr>
        <w:t>Phragmites</w:t>
      </w:r>
      <w:proofErr w:type="spellEnd"/>
      <w:r w:rsidRPr="00D55DB1">
        <w:rPr>
          <w:i/>
        </w:rPr>
        <w:t xml:space="preserve"> </w:t>
      </w:r>
      <w:proofErr w:type="spellStart"/>
      <w:r w:rsidRPr="00D55DB1">
        <w:rPr>
          <w:i/>
        </w:rPr>
        <w:t>australis</w:t>
      </w:r>
      <w:proofErr w:type="spellEnd"/>
      <w:r>
        <w:t xml:space="preserve"> has been controlled are dominated by monotypic stands of hybrid cattail (</w:t>
      </w:r>
      <w:proofErr w:type="spellStart"/>
      <w:r w:rsidRPr="00D55DB1">
        <w:rPr>
          <w:i/>
        </w:rPr>
        <w:t>Typha</w:t>
      </w:r>
      <w:proofErr w:type="spellEnd"/>
      <w:r w:rsidR="00B914B4">
        <w:rPr>
          <w:i/>
        </w:rPr>
        <w:t xml:space="preserve"> </w:t>
      </w:r>
      <w:r w:rsidR="00B914B4" w:rsidRPr="00B914B4">
        <w:t>x</w:t>
      </w:r>
      <w:r w:rsidR="00B914B4">
        <w:rPr>
          <w:i/>
        </w:rPr>
        <w:t xml:space="preserve"> </w:t>
      </w:r>
      <w:proofErr w:type="spellStart"/>
      <w:r w:rsidR="00B914B4">
        <w:rPr>
          <w:i/>
        </w:rPr>
        <w:t>glauca</w:t>
      </w:r>
      <w:proofErr w:type="spellEnd"/>
      <w:r>
        <w:t>), with little native plant diversity. Important wetland plants like w</w:t>
      </w:r>
      <w:r w:rsidRPr="00D55DB1">
        <w:t xml:space="preserve">ild </w:t>
      </w:r>
      <w:r>
        <w:t>c</w:t>
      </w:r>
      <w:r w:rsidRPr="00D55DB1">
        <w:t>elery (</w:t>
      </w:r>
      <w:proofErr w:type="spellStart"/>
      <w:r w:rsidRPr="00936BA9">
        <w:rPr>
          <w:i/>
        </w:rPr>
        <w:t>Vallisneria</w:t>
      </w:r>
      <w:proofErr w:type="spellEnd"/>
      <w:r w:rsidRPr="00936BA9">
        <w:rPr>
          <w:i/>
        </w:rPr>
        <w:t xml:space="preserve"> </w:t>
      </w:r>
      <w:proofErr w:type="spellStart"/>
      <w:proofErr w:type="gramStart"/>
      <w:r w:rsidRPr="00936BA9">
        <w:rPr>
          <w:i/>
        </w:rPr>
        <w:t>americana</w:t>
      </w:r>
      <w:proofErr w:type="spellEnd"/>
      <w:proofErr w:type="gramEnd"/>
      <w:r w:rsidRPr="00D55DB1">
        <w:t>)</w:t>
      </w:r>
      <w:r w:rsidR="00936BA9">
        <w:t xml:space="preserve">, duck potato </w:t>
      </w:r>
      <w:r w:rsidR="00936BA9">
        <w:lastRenderedPageBreak/>
        <w:t>(</w:t>
      </w:r>
      <w:proofErr w:type="spellStart"/>
      <w:r w:rsidR="00936BA9" w:rsidRPr="00936BA9">
        <w:rPr>
          <w:i/>
        </w:rPr>
        <w:t>Sagittaria</w:t>
      </w:r>
      <w:proofErr w:type="spellEnd"/>
      <w:r w:rsidR="00936BA9" w:rsidRPr="00936BA9">
        <w:rPr>
          <w:i/>
        </w:rPr>
        <w:t xml:space="preserve"> </w:t>
      </w:r>
      <w:proofErr w:type="spellStart"/>
      <w:r w:rsidR="00936BA9" w:rsidRPr="00936BA9">
        <w:rPr>
          <w:i/>
        </w:rPr>
        <w:t>latifolia</w:t>
      </w:r>
      <w:proofErr w:type="spellEnd"/>
      <w:r w:rsidR="00936BA9">
        <w:t>), and other characteristic wetland species are present, but are localized and nowhere near their former extent. Transitional habitats like sedge meadows</w:t>
      </w:r>
      <w:r w:rsidR="00B914B4">
        <w:t xml:space="preserve"> and other </w:t>
      </w:r>
      <w:r w:rsidR="00936BA9">
        <w:t xml:space="preserve">important habitats for nesting wildlife, amphibians, and other indigenous species have been reduced to a few small remnants. </w:t>
      </w:r>
      <w:r w:rsidR="00B914B4">
        <w:t xml:space="preserve">Many interacting factors have caused </w:t>
      </w:r>
      <w:r w:rsidR="00936BA9">
        <w:t xml:space="preserve">the disappearance of these plant features from </w:t>
      </w:r>
      <w:r w:rsidR="00B914B4">
        <w:t xml:space="preserve">parts of </w:t>
      </w:r>
      <w:r w:rsidR="00936BA9">
        <w:t xml:space="preserve">the </w:t>
      </w:r>
      <w:r w:rsidR="00B914B4" w:rsidRPr="00B914B4">
        <w:t>LGB&amp;FR AOC</w:t>
      </w:r>
      <w:r w:rsidR="00936BA9">
        <w:t xml:space="preserve">, </w:t>
      </w:r>
      <w:r w:rsidR="00B914B4">
        <w:t>possibly including the a</w:t>
      </w:r>
      <w:r w:rsidR="00936BA9">
        <w:t xml:space="preserve">ggressive aerial spraying of </w:t>
      </w:r>
      <w:proofErr w:type="spellStart"/>
      <w:r w:rsidR="00B914B4">
        <w:rPr>
          <w:i/>
        </w:rPr>
        <w:t>Phragmites</w:t>
      </w:r>
      <w:proofErr w:type="spellEnd"/>
      <w:r w:rsidR="00B914B4">
        <w:rPr>
          <w:i/>
        </w:rPr>
        <w:t xml:space="preserve"> </w:t>
      </w:r>
      <w:proofErr w:type="spellStart"/>
      <w:r w:rsidR="00B914B4">
        <w:rPr>
          <w:i/>
        </w:rPr>
        <w:t>australis</w:t>
      </w:r>
      <w:proofErr w:type="spellEnd"/>
      <w:r w:rsidR="009C53F3">
        <w:rPr>
          <w:i/>
        </w:rPr>
        <w:t xml:space="preserve"> </w:t>
      </w:r>
      <w:r w:rsidR="009C53F3">
        <w:t>(</w:t>
      </w:r>
      <w:proofErr w:type="spellStart"/>
      <w:r w:rsidR="009C53F3">
        <w:t>Rinella</w:t>
      </w:r>
      <w:proofErr w:type="spellEnd"/>
      <w:r w:rsidR="009C53F3">
        <w:t xml:space="preserve"> et al. 2009)</w:t>
      </w:r>
      <w:r w:rsidR="00B914B4">
        <w:rPr>
          <w:i/>
        </w:rPr>
        <w:t xml:space="preserve">. </w:t>
      </w:r>
      <w:r w:rsidR="008C3B8B">
        <w:t xml:space="preserve">The same may apply to </w:t>
      </w:r>
      <w:proofErr w:type="spellStart"/>
      <w:r w:rsidR="008C3B8B">
        <w:t>submergent</w:t>
      </w:r>
      <w:proofErr w:type="spellEnd"/>
      <w:r w:rsidR="008C3B8B">
        <w:t xml:space="preserve"> aquatic plants (Wagner et al. 2007). Regardless of the causes, t</w:t>
      </w:r>
      <w:r w:rsidR="00B914B4">
        <w:t xml:space="preserve">he result has been a reduction of diverse </w:t>
      </w:r>
      <w:r w:rsidR="00936BA9">
        <w:t xml:space="preserve">native wetland plant communities to </w:t>
      </w:r>
      <w:r w:rsidR="009517C8">
        <w:t xml:space="preserve">small pockets that are vulnerable to further destruction or invasion by undesirable species. Fortunately, remnant populations of many native wetland species still are present in the </w:t>
      </w:r>
      <w:r w:rsidR="00B914B4" w:rsidRPr="00B914B4">
        <w:t>LGB&amp;FR AOC</w:t>
      </w:r>
      <w:r w:rsidR="009517C8">
        <w:t xml:space="preserve">, but they need to be identified, mapped and protected if they are to serve as reservoirs of recolonization and restoration activities. </w:t>
      </w:r>
      <w:r w:rsidR="00936BA9">
        <w:t xml:space="preserve"> </w:t>
      </w:r>
      <w:r>
        <w:t xml:space="preserve">     </w:t>
      </w:r>
      <w:r w:rsidR="00FD114B">
        <w:t xml:space="preserve"> </w:t>
      </w:r>
      <w:r w:rsidR="00D92F38">
        <w:t xml:space="preserve"> </w:t>
      </w:r>
      <w:r w:rsidR="00D33239">
        <w:t xml:space="preserve">   </w:t>
      </w:r>
      <w:r w:rsidR="009119AB">
        <w:t xml:space="preserve">   </w:t>
      </w:r>
    </w:p>
    <w:p w14:paraId="75C47D7E" w14:textId="77777777" w:rsidR="009119AB" w:rsidRDefault="009119AB" w:rsidP="00140351">
      <w:pPr>
        <w:jc w:val="both"/>
        <w:rPr>
          <w:b/>
          <w:i/>
        </w:rPr>
      </w:pPr>
    </w:p>
    <w:p w14:paraId="343E64AD" w14:textId="1F6A4400" w:rsidR="005C650A" w:rsidRPr="006617D9" w:rsidRDefault="005C650A" w:rsidP="00140351">
      <w:pPr>
        <w:jc w:val="both"/>
      </w:pPr>
      <w:r w:rsidRPr="006617D9">
        <w:t xml:space="preserve">This project will </w:t>
      </w:r>
      <w:r w:rsidR="009119AB">
        <w:t xml:space="preserve">complement </w:t>
      </w:r>
      <w:r w:rsidR="009517C8">
        <w:t xml:space="preserve">the second year of a larger </w:t>
      </w:r>
      <w:r w:rsidRPr="006617D9">
        <w:t xml:space="preserve">project to assess baseline fish and wildlife habitat conditions and </w:t>
      </w:r>
      <w:r w:rsidR="00254FAC">
        <w:t xml:space="preserve">document potential habitat restoration </w:t>
      </w:r>
      <w:r w:rsidR="00C17179">
        <w:t>opportunities</w:t>
      </w:r>
      <w:r w:rsidRPr="006617D9">
        <w:t xml:space="preserve"> in the </w:t>
      </w:r>
      <w:r w:rsidR="00811BE4">
        <w:t>L</w:t>
      </w:r>
      <w:r w:rsidRPr="006617D9">
        <w:t>GB</w:t>
      </w:r>
      <w:r w:rsidR="00811BE4">
        <w:t>&amp;FR</w:t>
      </w:r>
      <w:r w:rsidRPr="006617D9">
        <w:t xml:space="preserve"> AOC and its immed</w:t>
      </w:r>
      <w:r>
        <w:t xml:space="preserve">iately contributing watershed. </w:t>
      </w:r>
      <w:r w:rsidR="00C64C56">
        <w:t>The primary focus will be on the area within 1 km of the ordinary high water mark</w:t>
      </w:r>
      <w:r w:rsidR="000A310F">
        <w:t xml:space="preserve"> </w:t>
      </w:r>
      <w:r w:rsidR="009517C8">
        <w:t xml:space="preserve">between Point au Sable on the east shore of Green Bay and </w:t>
      </w:r>
      <w:proofErr w:type="spellStart"/>
      <w:r w:rsidR="009517C8">
        <w:t>Longtail</w:t>
      </w:r>
      <w:proofErr w:type="spellEnd"/>
      <w:r w:rsidR="009517C8">
        <w:t xml:space="preserve"> Point on the west shore </w:t>
      </w:r>
      <w:r w:rsidR="000A310F">
        <w:t>(hereafter defined as the AOC project area</w:t>
      </w:r>
      <w:r w:rsidR="009517C8">
        <w:t xml:space="preserve">).  </w:t>
      </w:r>
      <w:r w:rsidRPr="006617D9">
        <w:t xml:space="preserve"> </w:t>
      </w:r>
    </w:p>
    <w:p w14:paraId="2ECD0D2B" w14:textId="77777777" w:rsidR="00487C41" w:rsidRDefault="00487C41" w:rsidP="00140351">
      <w:pPr>
        <w:jc w:val="both"/>
      </w:pPr>
    </w:p>
    <w:p w14:paraId="6630349F" w14:textId="47230515" w:rsidR="005C650A" w:rsidRDefault="005C650A" w:rsidP="00140351">
      <w:pPr>
        <w:jc w:val="both"/>
      </w:pPr>
      <w:r w:rsidRPr="006617D9">
        <w:t xml:space="preserve">The specific goals of </w:t>
      </w:r>
      <w:r w:rsidR="001C6B6E">
        <w:t>the</w:t>
      </w:r>
      <w:r w:rsidRPr="006617D9">
        <w:t xml:space="preserve"> project are to: </w:t>
      </w:r>
    </w:p>
    <w:p w14:paraId="2586D8C9" w14:textId="77777777" w:rsidR="00BF53FE" w:rsidRPr="006617D9" w:rsidRDefault="00BF53FE" w:rsidP="00140351">
      <w:pPr>
        <w:jc w:val="both"/>
      </w:pPr>
    </w:p>
    <w:p w14:paraId="5EF1C017" w14:textId="5432C026" w:rsidR="00BF53FE" w:rsidRDefault="009517C8" w:rsidP="00140351">
      <w:pPr>
        <w:numPr>
          <w:ilvl w:val="0"/>
          <w:numId w:val="26"/>
        </w:numPr>
        <w:jc w:val="both"/>
      </w:pPr>
      <w:r>
        <w:t xml:space="preserve">Develop and implement a </w:t>
      </w:r>
      <w:r w:rsidR="0027337D">
        <w:t>systematic</w:t>
      </w:r>
      <w:r w:rsidR="00B914B4">
        <w:t>, repeatable</w:t>
      </w:r>
      <w:r w:rsidR="0027337D">
        <w:t xml:space="preserve"> method for surveying migratory waterfowl in t</w:t>
      </w:r>
      <w:r w:rsidR="005C650A" w:rsidRPr="006617D9">
        <w:t xml:space="preserve">he </w:t>
      </w:r>
      <w:r w:rsidR="00B667CD">
        <w:t>AOC</w:t>
      </w:r>
      <w:r w:rsidR="0027337D">
        <w:t>. This method will include permanent ground survey points (e.g., Point au Sable</w:t>
      </w:r>
      <w:r w:rsidR="00B914B4">
        <w:t xml:space="preserve"> Nature Preserve</w:t>
      </w:r>
      <w:r w:rsidR="0027337D">
        <w:t xml:space="preserve">, Cat Island Wave Barrier) as well as a sustainable method for aerial sampling, potentially including the use of unmanned aerial vehicles </w:t>
      </w:r>
      <w:r w:rsidR="00B914B4">
        <w:t>or d</w:t>
      </w:r>
      <w:r w:rsidR="0027337D">
        <w:t>rones</w:t>
      </w:r>
      <w:r w:rsidR="00B914B4">
        <w:t xml:space="preserve"> </w:t>
      </w:r>
      <w:proofErr w:type="spellStart"/>
      <w:r w:rsidR="00B914B4">
        <w:t>McEvoy</w:t>
      </w:r>
      <w:proofErr w:type="spellEnd"/>
      <w:r w:rsidR="00B914B4">
        <w:t xml:space="preserve"> et al. 2016</w:t>
      </w:r>
      <w:r w:rsidR="0027337D">
        <w:t>).</w:t>
      </w:r>
      <w:r w:rsidR="00BF53FE">
        <w:t xml:space="preserve"> Specific objectives for this aspect of the project are as follows:</w:t>
      </w:r>
    </w:p>
    <w:p w14:paraId="625FAC80" w14:textId="29BA9FE2" w:rsidR="005C650A" w:rsidRDefault="001647B3" w:rsidP="004B4E98">
      <w:pPr>
        <w:numPr>
          <w:ilvl w:val="1"/>
          <w:numId w:val="26"/>
        </w:numPr>
        <w:jc w:val="both"/>
      </w:pPr>
      <w:r>
        <w:t>Identify</w:t>
      </w:r>
      <w:r w:rsidR="00BF53FE">
        <w:t xml:space="preserve"> and map locations where waterfowl stage within the AOC</w:t>
      </w:r>
      <w:r>
        <w:t xml:space="preserve"> during both fall and spring migratory periods</w:t>
      </w:r>
      <w:r w:rsidR="00BF53FE">
        <w:t>.</w:t>
      </w:r>
    </w:p>
    <w:p w14:paraId="401C906C" w14:textId="3A89044C" w:rsidR="00BF53FE" w:rsidRDefault="00BF53FE" w:rsidP="004B4E98">
      <w:pPr>
        <w:numPr>
          <w:ilvl w:val="1"/>
          <w:numId w:val="26"/>
        </w:numPr>
        <w:jc w:val="both"/>
      </w:pPr>
      <w:r>
        <w:t xml:space="preserve">Describe waterfowl species composition and estimate </w:t>
      </w:r>
      <w:r w:rsidR="008D43F7">
        <w:t>seasonal numbers of individuals in the AOC.</w:t>
      </w:r>
    </w:p>
    <w:p w14:paraId="2796BF20" w14:textId="416FF336" w:rsidR="00BF53FE" w:rsidRDefault="00BF53FE" w:rsidP="004B4E98">
      <w:pPr>
        <w:numPr>
          <w:ilvl w:val="1"/>
          <w:numId w:val="26"/>
        </w:numPr>
        <w:jc w:val="both"/>
      </w:pPr>
      <w:r>
        <w:t xml:space="preserve">Describe how waterfowl distributions change throughout each migratory period and </w:t>
      </w:r>
      <w:r w:rsidR="009660D1">
        <w:t>across seasons</w:t>
      </w:r>
      <w:r>
        <w:t>.</w:t>
      </w:r>
    </w:p>
    <w:p w14:paraId="3ED5923F" w14:textId="4523C3DA" w:rsidR="00BF53FE" w:rsidRPr="006617D9" w:rsidRDefault="00BF53FE" w:rsidP="004B4E98">
      <w:pPr>
        <w:numPr>
          <w:ilvl w:val="1"/>
          <w:numId w:val="26"/>
        </w:numPr>
        <w:jc w:val="both"/>
      </w:pPr>
      <w:r>
        <w:t>Compare data collected at ground survey points with aerial sampling</w:t>
      </w:r>
      <w:r w:rsidR="001647B3">
        <w:t xml:space="preserve"> and describe how these field methodologies differ</w:t>
      </w:r>
      <w:r>
        <w:t>.</w:t>
      </w:r>
      <w:r w:rsidR="00441210">
        <w:t xml:space="preserve"> </w:t>
      </w:r>
    </w:p>
    <w:p w14:paraId="24D8C213" w14:textId="77777777" w:rsidR="00BF53FE" w:rsidRDefault="00BF53FE" w:rsidP="004B4E98">
      <w:pPr>
        <w:ind w:left="820"/>
        <w:jc w:val="both"/>
      </w:pPr>
    </w:p>
    <w:p w14:paraId="5C5FD8EA" w14:textId="4B700E13" w:rsidR="0027337D" w:rsidRDefault="00B667CD" w:rsidP="00140351">
      <w:pPr>
        <w:numPr>
          <w:ilvl w:val="0"/>
          <w:numId w:val="26"/>
        </w:numPr>
        <w:jc w:val="both"/>
      </w:pPr>
      <w:r>
        <w:t>I</w:t>
      </w:r>
      <w:r w:rsidR="001C6B6E">
        <w:t xml:space="preserve">dentify </w:t>
      </w:r>
      <w:r w:rsidR="0027337D">
        <w:t>and map critical remnants of native wetland and submerged aquatic plants in the AOC, possibly including nearby areas that may serve as sources</w:t>
      </w:r>
      <w:r w:rsidR="000D0808">
        <w:t xml:space="preserve"> and benchmarks </w:t>
      </w:r>
      <w:r w:rsidR="0027337D">
        <w:t>for restoration projects.</w:t>
      </w:r>
    </w:p>
    <w:p w14:paraId="0ACA6817" w14:textId="77777777" w:rsidR="00BF53FE" w:rsidRPr="004B4E98" w:rsidRDefault="00BF53FE" w:rsidP="004B4E98">
      <w:pPr>
        <w:ind w:left="820"/>
        <w:jc w:val="both"/>
        <w:rPr>
          <w:b/>
          <w:i/>
        </w:rPr>
      </w:pPr>
    </w:p>
    <w:p w14:paraId="3F358ED3" w14:textId="6D910C5A" w:rsidR="002F479A" w:rsidRPr="00A60A55" w:rsidRDefault="0027337D" w:rsidP="00441210">
      <w:pPr>
        <w:numPr>
          <w:ilvl w:val="0"/>
          <w:numId w:val="26"/>
        </w:numPr>
        <w:jc w:val="both"/>
        <w:rPr>
          <w:b/>
          <w:i/>
        </w:rPr>
      </w:pPr>
      <w:r w:rsidRPr="00A03850">
        <w:t>Collaborate w</w:t>
      </w:r>
      <w:r>
        <w:t>ith agencies and other researchers to assemble information from previous and ongoing projects that are relevant to goals 1-</w:t>
      </w:r>
      <w:r w:rsidR="00784818">
        <w:t>2</w:t>
      </w:r>
      <w:r>
        <w:t xml:space="preserve">. In other words, avoid duplication of efforts in order to maximize field effort and to complement existing sources of information. </w:t>
      </w:r>
    </w:p>
    <w:p w14:paraId="03018BF0" w14:textId="77777777" w:rsidR="00A60A55" w:rsidRDefault="00A60A55" w:rsidP="00140351">
      <w:pPr>
        <w:ind w:left="460"/>
        <w:jc w:val="both"/>
        <w:rPr>
          <w:b/>
          <w:i/>
        </w:rPr>
      </w:pPr>
    </w:p>
    <w:p w14:paraId="1D635A3D" w14:textId="12468D1C" w:rsidR="002F479A" w:rsidRDefault="002F479A" w:rsidP="00140351">
      <w:pPr>
        <w:jc w:val="both"/>
      </w:pPr>
      <w:r>
        <w:t>During all phases of the project, UW</w:t>
      </w:r>
      <w:r w:rsidR="009C6B8D">
        <w:t>-</w:t>
      </w:r>
      <w:r>
        <w:t>G</w:t>
      </w:r>
      <w:r w:rsidR="009C6B8D">
        <w:t xml:space="preserve">reen </w:t>
      </w:r>
      <w:r>
        <w:t>B</w:t>
      </w:r>
      <w:r w:rsidR="009C6B8D">
        <w:t>ay</w:t>
      </w:r>
      <w:r>
        <w:t xml:space="preserve"> </w:t>
      </w:r>
      <w:r w:rsidR="00A60A55">
        <w:t>s</w:t>
      </w:r>
      <w:r>
        <w:t xml:space="preserve">taff will maintain close communication with </w:t>
      </w:r>
      <w:r w:rsidR="00DA557F">
        <w:t>Wisconsin Department of Natural Resources (</w:t>
      </w:r>
      <w:r>
        <w:t>WDNR</w:t>
      </w:r>
      <w:r w:rsidR="00DA557F">
        <w:t>)</w:t>
      </w:r>
      <w:r>
        <w:t xml:space="preserve"> staff and will solicit information and recommendations from experts on the conservation of fish and wildlife populations in the AOC. </w:t>
      </w:r>
    </w:p>
    <w:p w14:paraId="5E20EDF6" w14:textId="661A8AED" w:rsidR="000601CD" w:rsidRDefault="008C15FC" w:rsidP="00140351">
      <w:pPr>
        <w:jc w:val="both"/>
        <w:rPr>
          <w:i/>
        </w:rPr>
      </w:pPr>
      <w:r>
        <w:rPr>
          <w:b/>
          <w:i/>
        </w:rPr>
        <w:br/>
      </w:r>
      <w:r w:rsidR="004A6C1E" w:rsidRPr="00C436BA">
        <w:rPr>
          <w:b/>
          <w:i/>
        </w:rPr>
        <w:t>Deliverables</w:t>
      </w:r>
      <w:r w:rsidR="004A6C1E" w:rsidRPr="00C436BA">
        <w:rPr>
          <w:i/>
        </w:rPr>
        <w:t>:</w:t>
      </w:r>
    </w:p>
    <w:p w14:paraId="6591B8F8" w14:textId="23CABC59" w:rsidR="002A12F7" w:rsidRPr="00C436BA" w:rsidRDefault="002A12F7" w:rsidP="00140351">
      <w:pPr>
        <w:jc w:val="both"/>
      </w:pPr>
      <w:r>
        <w:rPr>
          <w:i/>
        </w:rPr>
        <w:t>Since this project agreement is between UW</w:t>
      </w:r>
      <w:r w:rsidR="008850F4">
        <w:rPr>
          <w:i/>
        </w:rPr>
        <w:t>-</w:t>
      </w:r>
      <w:r>
        <w:rPr>
          <w:i/>
        </w:rPr>
        <w:t>G</w:t>
      </w:r>
      <w:r w:rsidR="008850F4">
        <w:rPr>
          <w:i/>
        </w:rPr>
        <w:t xml:space="preserve">reen </w:t>
      </w:r>
      <w:r>
        <w:rPr>
          <w:i/>
        </w:rPr>
        <w:t>B</w:t>
      </w:r>
      <w:r w:rsidR="009164DF">
        <w:rPr>
          <w:i/>
        </w:rPr>
        <w:t>ay</w:t>
      </w:r>
      <w:r>
        <w:rPr>
          <w:i/>
        </w:rPr>
        <w:t xml:space="preserve"> and </w:t>
      </w:r>
      <w:r w:rsidR="00F56D3D">
        <w:rPr>
          <w:i/>
        </w:rPr>
        <w:t>W</w:t>
      </w:r>
      <w:r>
        <w:rPr>
          <w:i/>
        </w:rPr>
        <w:t>DNR, UW</w:t>
      </w:r>
      <w:r w:rsidR="009164DF">
        <w:rPr>
          <w:i/>
        </w:rPr>
        <w:t>-</w:t>
      </w:r>
      <w:r>
        <w:rPr>
          <w:i/>
        </w:rPr>
        <w:t>G</w:t>
      </w:r>
      <w:r w:rsidR="009164DF">
        <w:rPr>
          <w:i/>
        </w:rPr>
        <w:t xml:space="preserve">reen </w:t>
      </w:r>
      <w:r>
        <w:rPr>
          <w:i/>
        </w:rPr>
        <w:t>B</w:t>
      </w:r>
      <w:r w:rsidR="009164DF">
        <w:rPr>
          <w:i/>
        </w:rPr>
        <w:t>ay</w:t>
      </w:r>
      <w:r>
        <w:rPr>
          <w:i/>
        </w:rPr>
        <w:t xml:space="preserve"> assumes all responsibility for any deliverables listed below, including any that are being completed under a subcontract award from UW</w:t>
      </w:r>
      <w:r w:rsidR="009164DF">
        <w:rPr>
          <w:i/>
        </w:rPr>
        <w:t>-</w:t>
      </w:r>
      <w:r>
        <w:rPr>
          <w:i/>
        </w:rPr>
        <w:t>G</w:t>
      </w:r>
      <w:r w:rsidR="009164DF">
        <w:rPr>
          <w:i/>
        </w:rPr>
        <w:t xml:space="preserve">reen </w:t>
      </w:r>
      <w:r>
        <w:rPr>
          <w:i/>
        </w:rPr>
        <w:t>B</w:t>
      </w:r>
      <w:r w:rsidR="009164DF">
        <w:rPr>
          <w:i/>
        </w:rPr>
        <w:t>ay</w:t>
      </w:r>
      <w:r>
        <w:rPr>
          <w:i/>
        </w:rPr>
        <w:t>. UW</w:t>
      </w:r>
      <w:r w:rsidR="009164DF">
        <w:rPr>
          <w:i/>
        </w:rPr>
        <w:t>-</w:t>
      </w:r>
      <w:r>
        <w:rPr>
          <w:i/>
        </w:rPr>
        <w:t>G</w:t>
      </w:r>
      <w:r w:rsidR="009164DF">
        <w:rPr>
          <w:i/>
        </w:rPr>
        <w:t xml:space="preserve">reen </w:t>
      </w:r>
      <w:r>
        <w:rPr>
          <w:i/>
        </w:rPr>
        <w:t>B</w:t>
      </w:r>
      <w:r w:rsidR="009164DF">
        <w:rPr>
          <w:i/>
        </w:rPr>
        <w:t>ay</w:t>
      </w:r>
      <w:r>
        <w:rPr>
          <w:i/>
        </w:rPr>
        <w:t xml:space="preserve"> should ensure that </w:t>
      </w:r>
      <w:r w:rsidR="000B54E3">
        <w:rPr>
          <w:i/>
        </w:rPr>
        <w:t xml:space="preserve">subcontracts </w:t>
      </w:r>
      <w:r>
        <w:rPr>
          <w:i/>
        </w:rPr>
        <w:t>have adequate provisions to ensure completion of deliverables listed below.</w:t>
      </w:r>
    </w:p>
    <w:p w14:paraId="26861ED7" w14:textId="77777777" w:rsidR="000601CD" w:rsidRDefault="000601CD" w:rsidP="00140351">
      <w:pPr>
        <w:jc w:val="both"/>
        <w:rPr>
          <w:rFonts w:cstheme="minorHAnsi"/>
        </w:rPr>
      </w:pPr>
    </w:p>
    <w:p w14:paraId="3F9E64F8" w14:textId="3870A89E" w:rsidR="00D7419B" w:rsidRPr="00441210" w:rsidRDefault="00D7419B" w:rsidP="00441210">
      <w:pPr>
        <w:pStyle w:val="ListParagraph"/>
        <w:numPr>
          <w:ilvl w:val="0"/>
          <w:numId w:val="23"/>
        </w:numPr>
        <w:contextualSpacing/>
        <w:jc w:val="both"/>
        <w:rPr>
          <w:rFonts w:eastAsia="Times New Roman" w:cstheme="minorHAnsi"/>
        </w:rPr>
      </w:pPr>
      <w:r>
        <w:rPr>
          <w:rFonts w:eastAsia="Times New Roman" w:cstheme="minorHAnsi"/>
        </w:rPr>
        <w:t>A quality assurance project plan</w:t>
      </w:r>
      <w:r w:rsidR="00C25575">
        <w:rPr>
          <w:rFonts w:eastAsia="Times New Roman" w:cstheme="minorHAnsi"/>
        </w:rPr>
        <w:t xml:space="preserve"> (QAPP)</w:t>
      </w:r>
      <w:r>
        <w:rPr>
          <w:rFonts w:eastAsia="Times New Roman" w:cstheme="minorHAnsi"/>
        </w:rPr>
        <w:t xml:space="preserve"> that is approved by </w:t>
      </w:r>
      <w:r w:rsidR="00F56D3D">
        <w:rPr>
          <w:rFonts w:eastAsia="Times New Roman" w:cstheme="minorHAnsi"/>
        </w:rPr>
        <w:t>W</w:t>
      </w:r>
      <w:r>
        <w:rPr>
          <w:rFonts w:eastAsia="Times New Roman" w:cstheme="minorHAnsi"/>
        </w:rPr>
        <w:t xml:space="preserve">DNR and </w:t>
      </w:r>
      <w:r w:rsidR="005D5DED">
        <w:rPr>
          <w:rFonts w:eastAsia="Times New Roman" w:cstheme="minorHAnsi"/>
        </w:rPr>
        <w:t>U.S. Environmental Protection Agency (</w:t>
      </w:r>
      <w:r>
        <w:rPr>
          <w:rFonts w:eastAsia="Times New Roman" w:cstheme="minorHAnsi"/>
        </w:rPr>
        <w:t>EPA</w:t>
      </w:r>
      <w:r w:rsidR="005D5DED">
        <w:rPr>
          <w:rFonts w:eastAsia="Times New Roman" w:cstheme="minorHAnsi"/>
        </w:rPr>
        <w:t>).</w:t>
      </w:r>
      <w:r w:rsidR="00C25575">
        <w:rPr>
          <w:rFonts w:eastAsia="Times New Roman" w:cstheme="minorHAnsi"/>
        </w:rPr>
        <w:t xml:space="preserve"> As noted below, the QAPP will </w:t>
      </w:r>
      <w:r w:rsidR="000E6833">
        <w:rPr>
          <w:u w:val="single"/>
        </w:rPr>
        <w:t>further outline in more detail deliverables, final products, and project expectations</w:t>
      </w:r>
      <w:r w:rsidR="002C1039">
        <w:rPr>
          <w:u w:val="single"/>
        </w:rPr>
        <w:t xml:space="preserve"> and</w:t>
      </w:r>
      <w:r w:rsidR="00C25575">
        <w:rPr>
          <w:u w:val="single"/>
        </w:rPr>
        <w:t xml:space="preserve"> will serve as an extension of this </w:t>
      </w:r>
      <w:r w:rsidR="00A03850">
        <w:rPr>
          <w:u w:val="single"/>
        </w:rPr>
        <w:t>plan.</w:t>
      </w:r>
      <w:r w:rsidR="00C25575">
        <w:rPr>
          <w:rFonts w:eastAsia="Times New Roman" w:cstheme="minorHAnsi"/>
        </w:rPr>
        <w:t xml:space="preserve"> </w:t>
      </w:r>
      <w:r w:rsidR="00BD514F" w:rsidRPr="00BD514F">
        <w:rPr>
          <w:rFonts w:eastAsia="Times New Roman" w:cstheme="minorHAnsi"/>
        </w:rPr>
        <w:t xml:space="preserve">Project-specific outcomes that are not identified </w:t>
      </w:r>
      <w:r w:rsidR="00BD514F">
        <w:rPr>
          <w:rFonts w:eastAsia="Times New Roman" w:cstheme="minorHAnsi"/>
        </w:rPr>
        <w:t xml:space="preserve">below </w:t>
      </w:r>
      <w:r w:rsidR="00BD514F" w:rsidRPr="00BD514F">
        <w:rPr>
          <w:rFonts w:eastAsia="Times New Roman" w:cstheme="minorHAnsi"/>
        </w:rPr>
        <w:t xml:space="preserve">will be identified during the project planning process. </w:t>
      </w:r>
      <w:r w:rsidR="00BD514F">
        <w:rPr>
          <w:rFonts w:eastAsia="Times New Roman" w:cstheme="minorHAnsi"/>
        </w:rPr>
        <w:t>T</w:t>
      </w:r>
      <w:r w:rsidR="00BD514F" w:rsidRPr="00BD514F">
        <w:rPr>
          <w:rFonts w:eastAsia="Times New Roman" w:cstheme="minorHAnsi"/>
        </w:rPr>
        <w:t xml:space="preserve">he QAPP </w:t>
      </w:r>
      <w:r w:rsidR="00BD514F">
        <w:rPr>
          <w:rFonts w:eastAsia="Times New Roman" w:cstheme="minorHAnsi"/>
        </w:rPr>
        <w:t>will be o</w:t>
      </w:r>
      <w:r w:rsidR="00BD514F" w:rsidRPr="00BD514F">
        <w:rPr>
          <w:rFonts w:eastAsia="Times New Roman" w:cstheme="minorHAnsi"/>
        </w:rPr>
        <w:t xml:space="preserve">ne of the first tasks of </w:t>
      </w:r>
      <w:r w:rsidR="00A03850">
        <w:rPr>
          <w:rFonts w:eastAsia="Times New Roman" w:cstheme="minorHAnsi"/>
        </w:rPr>
        <w:t>the proposed project</w:t>
      </w:r>
      <w:r w:rsidR="00BD514F">
        <w:rPr>
          <w:rFonts w:eastAsia="Times New Roman" w:cstheme="minorHAnsi"/>
        </w:rPr>
        <w:t xml:space="preserve">. </w:t>
      </w:r>
    </w:p>
    <w:p w14:paraId="4DBE47CE" w14:textId="5454520B" w:rsidR="00E02FFD" w:rsidRDefault="00E02FFD" w:rsidP="00140351">
      <w:pPr>
        <w:pStyle w:val="ListParagraph"/>
        <w:numPr>
          <w:ilvl w:val="0"/>
          <w:numId w:val="23"/>
        </w:numPr>
        <w:ind w:left="356"/>
        <w:contextualSpacing/>
        <w:jc w:val="both"/>
        <w:rPr>
          <w:rFonts w:eastAsia="Times New Roman" w:cstheme="minorHAnsi"/>
        </w:rPr>
      </w:pPr>
      <w:r>
        <w:rPr>
          <w:rFonts w:eastAsia="Times New Roman" w:cstheme="minorHAnsi"/>
        </w:rPr>
        <w:t xml:space="preserve">Consultations with </w:t>
      </w:r>
      <w:r w:rsidR="00D800FE">
        <w:rPr>
          <w:rFonts w:eastAsia="Times New Roman" w:cstheme="minorHAnsi"/>
        </w:rPr>
        <w:t>W</w:t>
      </w:r>
      <w:r>
        <w:rPr>
          <w:rFonts w:eastAsia="Times New Roman" w:cstheme="minorHAnsi"/>
        </w:rPr>
        <w:t xml:space="preserve">DNR </w:t>
      </w:r>
      <w:r w:rsidR="00CD00F0">
        <w:rPr>
          <w:rFonts w:eastAsia="Times New Roman" w:cstheme="minorHAnsi"/>
        </w:rPr>
        <w:t xml:space="preserve">regarding completion of the project goals (frequency and logistics of these consultations will be </w:t>
      </w:r>
      <w:r>
        <w:rPr>
          <w:rFonts w:eastAsia="Times New Roman" w:cstheme="minorHAnsi"/>
        </w:rPr>
        <w:t xml:space="preserve">outlined in </w:t>
      </w:r>
      <w:r w:rsidR="00CD00F0">
        <w:rPr>
          <w:rFonts w:eastAsia="Times New Roman" w:cstheme="minorHAnsi"/>
        </w:rPr>
        <w:t xml:space="preserve">the </w:t>
      </w:r>
      <w:r>
        <w:rPr>
          <w:rFonts w:eastAsia="Times New Roman" w:cstheme="minorHAnsi"/>
        </w:rPr>
        <w:t>QAPP)</w:t>
      </w:r>
      <w:r w:rsidR="00BF6664">
        <w:rPr>
          <w:rFonts w:eastAsia="Times New Roman" w:cstheme="minorHAnsi"/>
        </w:rPr>
        <w:t>.</w:t>
      </w:r>
    </w:p>
    <w:p w14:paraId="7399C77E" w14:textId="3BA0365A" w:rsidR="00E02FFD" w:rsidRPr="006824C2" w:rsidRDefault="00E02FFD" w:rsidP="00140351">
      <w:pPr>
        <w:pStyle w:val="ListParagraph"/>
        <w:numPr>
          <w:ilvl w:val="0"/>
          <w:numId w:val="23"/>
        </w:numPr>
        <w:contextualSpacing/>
        <w:jc w:val="both"/>
        <w:rPr>
          <w:rFonts w:eastAsia="Times New Roman" w:cstheme="minorHAnsi"/>
        </w:rPr>
      </w:pPr>
      <w:r w:rsidRPr="00CD00F0">
        <w:rPr>
          <w:rFonts w:eastAsia="Times New Roman" w:cstheme="minorHAnsi"/>
        </w:rPr>
        <w:t>Stakeholder debriefing/input meetings (</w:t>
      </w:r>
      <w:r w:rsidR="00CD00F0" w:rsidRPr="00CD00F0">
        <w:rPr>
          <w:rFonts w:eastAsia="Times New Roman" w:cstheme="minorHAnsi"/>
        </w:rPr>
        <w:t xml:space="preserve">frequency and logistics </w:t>
      </w:r>
      <w:r w:rsidR="00CD00F0">
        <w:rPr>
          <w:rFonts w:eastAsia="Times New Roman" w:cstheme="minorHAnsi"/>
        </w:rPr>
        <w:t>o</w:t>
      </w:r>
      <w:r w:rsidR="00CD00F0" w:rsidRPr="00CD00F0">
        <w:rPr>
          <w:rFonts w:eastAsia="Times New Roman" w:cstheme="minorHAnsi"/>
        </w:rPr>
        <w:t>utlined in the QAPP)</w:t>
      </w:r>
      <w:r w:rsidR="00BF6664">
        <w:rPr>
          <w:rFonts w:eastAsia="Times New Roman" w:cstheme="minorHAnsi"/>
        </w:rPr>
        <w:t>.</w:t>
      </w:r>
    </w:p>
    <w:p w14:paraId="54E8B20B" w14:textId="77947997" w:rsidR="009E7CE3" w:rsidRPr="00287120" w:rsidRDefault="002A12F7" w:rsidP="00140351">
      <w:pPr>
        <w:pStyle w:val="ListParagraph"/>
        <w:numPr>
          <w:ilvl w:val="0"/>
          <w:numId w:val="23"/>
        </w:numPr>
        <w:contextualSpacing/>
        <w:jc w:val="both"/>
        <w:rPr>
          <w:rFonts w:eastAsia="Times New Roman" w:cstheme="minorHAnsi"/>
          <w:b/>
        </w:rPr>
      </w:pPr>
      <w:r w:rsidRPr="00287120">
        <w:rPr>
          <w:rFonts w:eastAsia="Times New Roman" w:cstheme="minorHAnsi"/>
          <w:b/>
        </w:rPr>
        <w:t>A</w:t>
      </w:r>
      <w:r w:rsidR="000601CD" w:rsidRPr="00287120">
        <w:rPr>
          <w:rFonts w:eastAsia="Times New Roman" w:cstheme="minorHAnsi"/>
          <w:b/>
        </w:rPr>
        <w:t xml:space="preserve"> </w:t>
      </w:r>
      <w:r w:rsidR="009E7CE3" w:rsidRPr="00287120">
        <w:rPr>
          <w:rFonts w:eastAsia="Times New Roman" w:cstheme="minorHAnsi"/>
          <w:b/>
        </w:rPr>
        <w:t>spatially explicit, standardized protocol for monitoring migratory waterfowl in the AOC</w:t>
      </w:r>
      <w:r w:rsidR="009660D1">
        <w:rPr>
          <w:rFonts w:eastAsia="Times New Roman" w:cstheme="minorHAnsi"/>
          <w:b/>
        </w:rPr>
        <w:t xml:space="preserve"> and recommended, permanent long-term sampling points for future monitoring</w:t>
      </w:r>
      <w:r w:rsidR="009E7CE3" w:rsidRPr="00287120">
        <w:rPr>
          <w:rFonts w:eastAsia="Times New Roman" w:cstheme="minorHAnsi"/>
          <w:b/>
        </w:rPr>
        <w:t>.</w:t>
      </w:r>
    </w:p>
    <w:p w14:paraId="67D246F3" w14:textId="77777777" w:rsidR="009E7CE3" w:rsidRPr="00287120" w:rsidRDefault="009E7CE3" w:rsidP="00140351">
      <w:pPr>
        <w:pStyle w:val="ListParagraph"/>
        <w:numPr>
          <w:ilvl w:val="0"/>
          <w:numId w:val="23"/>
        </w:numPr>
        <w:contextualSpacing/>
        <w:jc w:val="both"/>
        <w:rPr>
          <w:rFonts w:eastAsia="Times New Roman" w:cstheme="minorHAnsi"/>
          <w:b/>
        </w:rPr>
      </w:pPr>
      <w:r w:rsidRPr="00287120">
        <w:rPr>
          <w:rFonts w:eastAsia="Times New Roman" w:cstheme="minorHAnsi"/>
          <w:b/>
        </w:rPr>
        <w:t>Results from a trial survey of waterfowl during fall 2016 and spring 2017 using the standardized protocol.</w:t>
      </w:r>
    </w:p>
    <w:p w14:paraId="1415F75D" w14:textId="1609838E" w:rsidR="00E02FFD" w:rsidRPr="00287120" w:rsidRDefault="009E7CE3" w:rsidP="00140351">
      <w:pPr>
        <w:pStyle w:val="ListParagraph"/>
        <w:numPr>
          <w:ilvl w:val="0"/>
          <w:numId w:val="23"/>
        </w:numPr>
        <w:contextualSpacing/>
        <w:jc w:val="both"/>
        <w:rPr>
          <w:rFonts w:eastAsia="Times New Roman" w:cstheme="minorHAnsi"/>
          <w:b/>
        </w:rPr>
      </w:pPr>
      <w:r w:rsidRPr="00287120">
        <w:rPr>
          <w:rFonts w:eastAsia="Times New Roman" w:cstheme="minorHAnsi"/>
          <w:b/>
        </w:rPr>
        <w:t xml:space="preserve">A list of important indigenous plant species that are important to fish and wildlife populations in the AOC, including both food plants and plant species that provide indirect benefits such as nesting cover and </w:t>
      </w:r>
      <w:r w:rsidR="00287120" w:rsidRPr="00287120">
        <w:rPr>
          <w:rFonts w:eastAsia="Times New Roman" w:cstheme="minorHAnsi"/>
          <w:b/>
        </w:rPr>
        <w:t xml:space="preserve">habitat for a productive trophic community. </w:t>
      </w:r>
    </w:p>
    <w:p w14:paraId="6804345C" w14:textId="3288CD85" w:rsidR="00287120" w:rsidRPr="00287120" w:rsidRDefault="00287120" w:rsidP="00140351">
      <w:pPr>
        <w:pStyle w:val="ListParagraph"/>
        <w:numPr>
          <w:ilvl w:val="0"/>
          <w:numId w:val="23"/>
        </w:numPr>
        <w:contextualSpacing/>
        <w:jc w:val="both"/>
        <w:rPr>
          <w:rFonts w:eastAsia="Times New Roman" w:cstheme="minorHAnsi"/>
          <w:b/>
        </w:rPr>
      </w:pPr>
      <w:r w:rsidRPr="00287120">
        <w:rPr>
          <w:rFonts w:eastAsia="Times New Roman" w:cstheme="minorHAnsi"/>
          <w:b/>
        </w:rPr>
        <w:t xml:space="preserve">A </w:t>
      </w:r>
      <w:r w:rsidR="00205844">
        <w:rPr>
          <w:rFonts w:eastAsia="Times New Roman" w:cstheme="minorHAnsi"/>
          <w:b/>
        </w:rPr>
        <w:t xml:space="preserve">digital (GIS) </w:t>
      </w:r>
      <w:r w:rsidRPr="00287120">
        <w:rPr>
          <w:rFonts w:eastAsia="Times New Roman" w:cstheme="minorHAnsi"/>
          <w:b/>
        </w:rPr>
        <w:t xml:space="preserve">map of important remnants of native plant diversity in the AOC, focusing on species that will be critical sources of propagules for ecological restoration efforts. </w:t>
      </w:r>
    </w:p>
    <w:p w14:paraId="2B8CDE18" w14:textId="18AE522D" w:rsidR="002E6FD8" w:rsidRPr="000021B3" w:rsidRDefault="00632016" w:rsidP="001647B3">
      <w:pPr>
        <w:ind w:left="360" w:hanging="360"/>
        <w:jc w:val="both"/>
        <w:rPr>
          <w:rFonts w:cstheme="minorHAnsi"/>
        </w:rPr>
      </w:pPr>
      <w:r>
        <w:rPr>
          <w:rFonts w:cstheme="minorHAnsi"/>
        </w:rPr>
        <w:t>8</w:t>
      </w:r>
      <w:r w:rsidR="005C7333">
        <w:rPr>
          <w:rFonts w:cstheme="minorHAnsi"/>
        </w:rPr>
        <w:t xml:space="preserve">.  </w:t>
      </w:r>
      <w:r w:rsidR="002E6FD8" w:rsidRPr="00B25DFD">
        <w:rPr>
          <w:rFonts w:cstheme="minorHAnsi"/>
        </w:rPr>
        <w:t>Quarterly written updates that address</w:t>
      </w:r>
    </w:p>
    <w:p w14:paraId="56311449" w14:textId="77777777" w:rsidR="002E6FD8" w:rsidRPr="00524100" w:rsidRDefault="002E6FD8" w:rsidP="00140351">
      <w:pPr>
        <w:numPr>
          <w:ilvl w:val="1"/>
          <w:numId w:val="23"/>
        </w:numPr>
        <w:jc w:val="both"/>
      </w:pPr>
      <w:r>
        <w:t>A</w:t>
      </w:r>
      <w:r w:rsidRPr="00524100">
        <w:t>mount of money spent that quarter</w:t>
      </w:r>
      <w:r>
        <w:t>;</w:t>
      </w:r>
    </w:p>
    <w:p w14:paraId="33E41EFE" w14:textId="77777777" w:rsidR="002E6FD8" w:rsidRDefault="002E6FD8" w:rsidP="00140351">
      <w:pPr>
        <w:numPr>
          <w:ilvl w:val="1"/>
          <w:numId w:val="23"/>
        </w:numPr>
        <w:jc w:val="both"/>
      </w:pPr>
      <w:r>
        <w:t>D</w:t>
      </w:r>
      <w:r w:rsidRPr="00524100">
        <w:t>eliverables and work accomplished during the quarter</w:t>
      </w:r>
      <w:r>
        <w:t>;</w:t>
      </w:r>
      <w:r w:rsidRPr="00524100">
        <w:t xml:space="preserve"> </w:t>
      </w:r>
    </w:p>
    <w:p w14:paraId="61C45248" w14:textId="77777777" w:rsidR="002E6FD8" w:rsidRDefault="002E6FD8" w:rsidP="00140351">
      <w:pPr>
        <w:numPr>
          <w:ilvl w:val="1"/>
          <w:numId w:val="23"/>
        </w:numPr>
        <w:jc w:val="both"/>
      </w:pPr>
      <w:r>
        <w:t>Any p</w:t>
      </w:r>
      <w:r w:rsidRPr="00524100">
        <w:t>roblems that were encountered and how they were resolved</w:t>
      </w:r>
      <w:r>
        <w:t>; and</w:t>
      </w:r>
      <w:r w:rsidRPr="002E6FD8">
        <w:t xml:space="preserve"> </w:t>
      </w:r>
    </w:p>
    <w:p w14:paraId="4ABD1F75" w14:textId="43958DD7" w:rsidR="002E6FD8" w:rsidRDefault="002E6FD8" w:rsidP="00140351">
      <w:pPr>
        <w:numPr>
          <w:ilvl w:val="1"/>
          <w:numId w:val="23"/>
        </w:numPr>
        <w:jc w:val="both"/>
      </w:pPr>
      <w:r>
        <w:t>P</w:t>
      </w:r>
      <w:r w:rsidRPr="00524100">
        <w:t>lanned tasks/d</w:t>
      </w:r>
      <w:r>
        <w:t>eliverables for the next quarter</w:t>
      </w:r>
    </w:p>
    <w:p w14:paraId="5185D462" w14:textId="32AAF025" w:rsidR="002E6FD8" w:rsidRDefault="002E6FD8" w:rsidP="00140351">
      <w:pPr>
        <w:ind w:left="356"/>
        <w:jc w:val="both"/>
      </w:pPr>
      <w:r>
        <w:t xml:space="preserve">Updates </w:t>
      </w:r>
      <w:r w:rsidR="004B19F0">
        <w:t xml:space="preserve">will </w:t>
      </w:r>
      <w:r>
        <w:t xml:space="preserve">be e-mailed to </w:t>
      </w:r>
      <w:r w:rsidR="00B914B4">
        <w:t xml:space="preserve">the </w:t>
      </w:r>
      <w:r w:rsidR="00D800FE">
        <w:t>W</w:t>
      </w:r>
      <w:r>
        <w:t>DNR project manager</w:t>
      </w:r>
      <w:r w:rsidR="00BF6664">
        <w:t>.</w:t>
      </w:r>
    </w:p>
    <w:p w14:paraId="40117E99" w14:textId="067030B5" w:rsidR="000012E4" w:rsidRPr="000021B3" w:rsidRDefault="00632016" w:rsidP="00DA557F">
      <w:pPr>
        <w:ind w:left="360" w:hanging="360"/>
        <w:contextualSpacing/>
        <w:jc w:val="both"/>
        <w:rPr>
          <w:rFonts w:cstheme="minorHAnsi"/>
        </w:rPr>
      </w:pPr>
      <w:r>
        <w:rPr>
          <w:rFonts w:cstheme="minorHAnsi"/>
        </w:rPr>
        <w:t>9</w:t>
      </w:r>
      <w:r w:rsidR="005C7333">
        <w:rPr>
          <w:rFonts w:cstheme="minorHAnsi"/>
        </w:rPr>
        <w:t xml:space="preserve">. </w:t>
      </w:r>
      <w:r w:rsidR="002E6FD8" w:rsidRPr="00B25DFD">
        <w:rPr>
          <w:rFonts w:cstheme="minorHAnsi"/>
        </w:rPr>
        <w:t>Final report</w:t>
      </w:r>
      <w:r w:rsidR="000012E4" w:rsidRPr="000021B3">
        <w:rPr>
          <w:rFonts w:cstheme="minorHAnsi"/>
        </w:rPr>
        <w:t xml:space="preserve"> </w:t>
      </w:r>
      <w:r w:rsidR="00287120">
        <w:rPr>
          <w:rFonts w:cstheme="minorHAnsi"/>
        </w:rPr>
        <w:t xml:space="preserve">summarizing Deliverables 5-8. </w:t>
      </w:r>
      <w:r w:rsidR="000012E4" w:rsidRPr="000021B3">
        <w:rPr>
          <w:rFonts w:cstheme="minorHAnsi"/>
        </w:rPr>
        <w:t xml:space="preserve"> </w:t>
      </w:r>
    </w:p>
    <w:p w14:paraId="6C2B4F64" w14:textId="443966D4" w:rsidR="00BD514F" w:rsidRDefault="00BD514F" w:rsidP="00140351">
      <w:pPr>
        <w:jc w:val="both"/>
        <w:rPr>
          <w:rFonts w:cstheme="minorHAnsi"/>
        </w:rPr>
      </w:pPr>
    </w:p>
    <w:p w14:paraId="692AA450" w14:textId="2BEFF322" w:rsidR="009660D1" w:rsidRDefault="009660D1" w:rsidP="00140351">
      <w:pPr>
        <w:jc w:val="both"/>
        <w:rPr>
          <w:rFonts w:cstheme="minorHAnsi"/>
        </w:rPr>
      </w:pPr>
    </w:p>
    <w:p w14:paraId="5B3031F8" w14:textId="49E6B4AB" w:rsidR="000601CD" w:rsidRPr="00D7419B" w:rsidRDefault="00D7419B" w:rsidP="00140351">
      <w:pPr>
        <w:jc w:val="both"/>
        <w:rPr>
          <w:b/>
          <w:i/>
        </w:rPr>
      </w:pPr>
      <w:r w:rsidRPr="00D7419B">
        <w:rPr>
          <w:b/>
          <w:i/>
        </w:rPr>
        <w:t xml:space="preserve">Communication with </w:t>
      </w:r>
      <w:r w:rsidR="00F56D3D">
        <w:rPr>
          <w:b/>
          <w:i/>
        </w:rPr>
        <w:t>W</w:t>
      </w:r>
      <w:r w:rsidRPr="00D7419B">
        <w:rPr>
          <w:b/>
          <w:i/>
        </w:rPr>
        <w:t>DNR Project Manager</w:t>
      </w:r>
    </w:p>
    <w:p w14:paraId="273A49F5" w14:textId="513C0737" w:rsidR="00B806B7" w:rsidRPr="0028712A" w:rsidRDefault="00D7419B" w:rsidP="00140351">
      <w:pPr>
        <w:jc w:val="both"/>
        <w:rPr>
          <w:i/>
          <w:u w:val="single"/>
        </w:rPr>
      </w:pPr>
      <w:proofErr w:type="gramStart"/>
      <w:r>
        <w:rPr>
          <w:i/>
        </w:rPr>
        <w:t xml:space="preserve">Any problems that the </w:t>
      </w:r>
      <w:r w:rsidR="00404CB5">
        <w:rPr>
          <w:i/>
        </w:rPr>
        <w:t>UW</w:t>
      </w:r>
      <w:r w:rsidR="004042FD">
        <w:rPr>
          <w:i/>
        </w:rPr>
        <w:t>-</w:t>
      </w:r>
      <w:r w:rsidR="00404CB5">
        <w:rPr>
          <w:i/>
        </w:rPr>
        <w:t>G</w:t>
      </w:r>
      <w:r w:rsidR="004042FD">
        <w:rPr>
          <w:i/>
        </w:rPr>
        <w:t xml:space="preserve">reen </w:t>
      </w:r>
      <w:r w:rsidR="00404CB5">
        <w:rPr>
          <w:i/>
        </w:rPr>
        <w:t>B</w:t>
      </w:r>
      <w:r w:rsidR="004042FD">
        <w:rPr>
          <w:i/>
        </w:rPr>
        <w:t>ay</w:t>
      </w:r>
      <w:r>
        <w:rPr>
          <w:i/>
        </w:rPr>
        <w:t xml:space="preserve"> encounters </w:t>
      </w:r>
      <w:r w:rsidR="00404CB5">
        <w:rPr>
          <w:i/>
        </w:rPr>
        <w:t xml:space="preserve">with the project </w:t>
      </w:r>
      <w:r>
        <w:rPr>
          <w:i/>
        </w:rPr>
        <w:t xml:space="preserve">that have the potential to affect the project timeline must be reported immediately to the </w:t>
      </w:r>
      <w:r w:rsidR="00F56D3D">
        <w:rPr>
          <w:i/>
        </w:rPr>
        <w:t>W</w:t>
      </w:r>
      <w:r>
        <w:rPr>
          <w:i/>
        </w:rPr>
        <w:t>DNR Project Manager.</w:t>
      </w:r>
      <w:proofErr w:type="gramEnd"/>
      <w:r w:rsidR="00151DDF" w:rsidRPr="00151DDF">
        <w:t xml:space="preserve"> </w:t>
      </w:r>
      <w:r w:rsidR="00151DDF" w:rsidRPr="00151DDF">
        <w:rPr>
          <w:i/>
        </w:rPr>
        <w:t>UWGB will be responsible for following any applicable rules and regulations regarding the use of unmanned aircraft for the project.</w:t>
      </w:r>
      <w:r w:rsidR="00151DDF">
        <w:rPr>
          <w:i/>
        </w:rPr>
        <w:t xml:space="preserve"> </w:t>
      </w:r>
      <w:r w:rsidR="00B806B7" w:rsidRPr="0028712A">
        <w:rPr>
          <w:i/>
          <w:u w:val="single"/>
        </w:rPr>
        <w:t xml:space="preserve">Any field data collection efforts associated with this project </w:t>
      </w:r>
      <w:r w:rsidR="00B806B7" w:rsidRPr="0028712A">
        <w:rPr>
          <w:i/>
          <w:u w:val="single"/>
        </w:rPr>
        <w:lastRenderedPageBreak/>
        <w:t>must be discussed with WDNR in advance of the field work and supported by the approved QAPP.</w:t>
      </w:r>
    </w:p>
    <w:p w14:paraId="4E55FFA1" w14:textId="77777777" w:rsidR="00340DA6" w:rsidRDefault="00340DA6">
      <w:pPr>
        <w:ind w:left="288"/>
        <w:rPr>
          <w:b/>
          <w:i/>
        </w:rPr>
      </w:pPr>
    </w:p>
    <w:p w14:paraId="4B0616BE" w14:textId="00AA14D9" w:rsidR="00181CC8" w:rsidRPr="000F52A7" w:rsidRDefault="00A237FD" w:rsidP="000F52A7">
      <w:pPr>
        <w:spacing w:line="360" w:lineRule="auto"/>
        <w:rPr>
          <w:i/>
        </w:rPr>
      </w:pPr>
      <w:r>
        <w:rPr>
          <w:b/>
          <w:i/>
        </w:rPr>
        <w:t>Budget</w:t>
      </w:r>
      <w:r>
        <w:rPr>
          <w:i/>
        </w:rPr>
        <w:t>:</w:t>
      </w:r>
    </w:p>
    <w:tbl>
      <w:tblPr>
        <w:tblW w:w="9167" w:type="dxa"/>
        <w:tblInd w:w="93" w:type="dxa"/>
        <w:tblLayout w:type="fixed"/>
        <w:tblLook w:val="04A0" w:firstRow="1" w:lastRow="0" w:firstColumn="1" w:lastColumn="0" w:noHBand="0" w:noVBand="1"/>
      </w:tblPr>
      <w:tblGrid>
        <w:gridCol w:w="6917"/>
        <w:gridCol w:w="2250"/>
      </w:tblGrid>
      <w:tr w:rsidR="00791232" w:rsidRPr="00585893" w14:paraId="2311B8E5" w14:textId="77777777" w:rsidTr="00F21DA0">
        <w:trPr>
          <w:trHeight w:val="457"/>
        </w:trPr>
        <w:tc>
          <w:tcPr>
            <w:tcW w:w="6917" w:type="dxa"/>
            <w:tcBorders>
              <w:top w:val="single" w:sz="8" w:space="0" w:color="auto"/>
              <w:left w:val="single" w:sz="8" w:space="0" w:color="auto"/>
              <w:bottom w:val="single" w:sz="8" w:space="0" w:color="auto"/>
              <w:right w:val="nil"/>
            </w:tcBorders>
            <w:shd w:val="clear" w:color="auto" w:fill="auto"/>
            <w:noWrap/>
            <w:vAlign w:val="center"/>
            <w:hideMark/>
          </w:tcPr>
          <w:p w14:paraId="24FCCBB8" w14:textId="030FA6FF" w:rsidR="00791232" w:rsidRPr="00585893" w:rsidRDefault="00791232" w:rsidP="00487C41">
            <w:pPr>
              <w:ind w:left="-86"/>
              <w:jc w:val="center"/>
              <w:rPr>
                <w:b/>
                <w:bCs/>
                <w:color w:val="000000"/>
              </w:rPr>
            </w:pPr>
            <w:r>
              <w:rPr>
                <w:b/>
                <w:bCs/>
                <w:color w:val="000000"/>
              </w:rPr>
              <w:t>ITEM</w:t>
            </w:r>
          </w:p>
        </w:tc>
        <w:tc>
          <w:tcPr>
            <w:tcW w:w="2250" w:type="dxa"/>
            <w:tcBorders>
              <w:top w:val="single" w:sz="8" w:space="0" w:color="auto"/>
              <w:left w:val="single" w:sz="8" w:space="0" w:color="auto"/>
              <w:bottom w:val="nil"/>
              <w:right w:val="single" w:sz="8" w:space="0" w:color="auto"/>
            </w:tcBorders>
            <w:shd w:val="clear" w:color="auto" w:fill="auto"/>
            <w:vAlign w:val="center"/>
            <w:hideMark/>
          </w:tcPr>
          <w:p w14:paraId="1120180E" w14:textId="5775CB0D" w:rsidR="00791232" w:rsidRPr="00585893" w:rsidRDefault="00791232" w:rsidP="00487C41">
            <w:pPr>
              <w:ind w:left="-86"/>
              <w:jc w:val="center"/>
              <w:rPr>
                <w:b/>
                <w:color w:val="000000"/>
              </w:rPr>
            </w:pPr>
            <w:r>
              <w:rPr>
                <w:b/>
                <w:color w:val="000000"/>
              </w:rPr>
              <w:t>AMOUNT</w:t>
            </w:r>
          </w:p>
        </w:tc>
      </w:tr>
      <w:tr w:rsidR="00791232" w:rsidRPr="00585893" w14:paraId="49E5B674" w14:textId="77777777" w:rsidTr="00F21DA0">
        <w:trPr>
          <w:trHeight w:val="301"/>
        </w:trPr>
        <w:tc>
          <w:tcPr>
            <w:tcW w:w="6917" w:type="dxa"/>
            <w:tcBorders>
              <w:top w:val="nil"/>
              <w:left w:val="single" w:sz="8" w:space="0" w:color="auto"/>
              <w:bottom w:val="single" w:sz="4" w:space="0" w:color="auto"/>
              <w:right w:val="single" w:sz="8" w:space="0" w:color="auto"/>
            </w:tcBorders>
            <w:shd w:val="clear" w:color="auto" w:fill="auto"/>
            <w:noWrap/>
            <w:vAlign w:val="center"/>
            <w:hideMark/>
          </w:tcPr>
          <w:p w14:paraId="79EEF6E4" w14:textId="77777777" w:rsidR="00791232" w:rsidRPr="00585893" w:rsidRDefault="00791232" w:rsidP="002B44BD">
            <w:pPr>
              <w:ind w:left="-86"/>
              <w:rPr>
                <w:b/>
                <w:bCs/>
                <w:color w:val="000000"/>
              </w:rPr>
            </w:pPr>
            <w:r w:rsidRPr="00585893">
              <w:rPr>
                <w:b/>
                <w:bCs/>
                <w:color w:val="000000"/>
              </w:rPr>
              <w:t>Personnel/Salaries/Fringe Benefits</w:t>
            </w:r>
          </w:p>
        </w:tc>
        <w:tc>
          <w:tcPr>
            <w:tcW w:w="2250" w:type="dxa"/>
            <w:tcBorders>
              <w:top w:val="single" w:sz="8" w:space="0" w:color="auto"/>
              <w:left w:val="nil"/>
              <w:bottom w:val="single" w:sz="4" w:space="0" w:color="auto"/>
              <w:right w:val="single" w:sz="8" w:space="0" w:color="auto"/>
            </w:tcBorders>
            <w:shd w:val="clear" w:color="auto" w:fill="auto"/>
            <w:noWrap/>
            <w:vAlign w:val="bottom"/>
            <w:hideMark/>
          </w:tcPr>
          <w:p w14:paraId="5F827087" w14:textId="77777777" w:rsidR="00791232" w:rsidRPr="00585893" w:rsidRDefault="00791232" w:rsidP="002B44BD">
            <w:pPr>
              <w:ind w:left="-86"/>
              <w:jc w:val="right"/>
              <w:rPr>
                <w:color w:val="000000"/>
              </w:rPr>
            </w:pPr>
            <w:r w:rsidRPr="00585893">
              <w:rPr>
                <w:color w:val="000000"/>
              </w:rPr>
              <w:t> </w:t>
            </w:r>
          </w:p>
        </w:tc>
      </w:tr>
      <w:tr w:rsidR="00791232" w:rsidRPr="00585893" w14:paraId="1FE02A91" w14:textId="77777777" w:rsidTr="00F21DA0">
        <w:trPr>
          <w:trHeight w:val="301"/>
        </w:trPr>
        <w:tc>
          <w:tcPr>
            <w:tcW w:w="6917" w:type="dxa"/>
            <w:tcBorders>
              <w:top w:val="nil"/>
              <w:left w:val="single" w:sz="8" w:space="0" w:color="auto"/>
              <w:bottom w:val="single" w:sz="4" w:space="0" w:color="auto"/>
              <w:right w:val="single" w:sz="8" w:space="0" w:color="auto"/>
            </w:tcBorders>
            <w:shd w:val="clear" w:color="auto" w:fill="auto"/>
            <w:noWrap/>
            <w:vAlign w:val="center"/>
            <w:hideMark/>
          </w:tcPr>
          <w:p w14:paraId="0C954C92" w14:textId="7565F452" w:rsidR="00791232" w:rsidRPr="00585893" w:rsidRDefault="00791232" w:rsidP="00784818">
            <w:pPr>
              <w:ind w:left="-86" w:firstLineChars="200" w:firstLine="482"/>
              <w:jc w:val="both"/>
              <w:rPr>
                <w:b/>
                <w:bCs/>
                <w:color w:val="000000"/>
              </w:rPr>
            </w:pPr>
            <w:r>
              <w:rPr>
                <w:b/>
                <w:bCs/>
                <w:color w:val="000000"/>
              </w:rPr>
              <w:t>UW-Green Bay</w:t>
            </w:r>
          </w:p>
        </w:tc>
        <w:tc>
          <w:tcPr>
            <w:tcW w:w="2250" w:type="dxa"/>
            <w:tcBorders>
              <w:top w:val="nil"/>
              <w:left w:val="nil"/>
              <w:bottom w:val="single" w:sz="4" w:space="0" w:color="auto"/>
              <w:right w:val="single" w:sz="8" w:space="0" w:color="auto"/>
            </w:tcBorders>
            <w:shd w:val="clear" w:color="auto" w:fill="auto"/>
            <w:vAlign w:val="center"/>
            <w:hideMark/>
          </w:tcPr>
          <w:p w14:paraId="56A73B01" w14:textId="77777777" w:rsidR="00791232" w:rsidRPr="00585893" w:rsidRDefault="00791232" w:rsidP="002B44BD">
            <w:pPr>
              <w:ind w:left="-86"/>
              <w:jc w:val="right"/>
              <w:rPr>
                <w:color w:val="000000"/>
              </w:rPr>
            </w:pPr>
            <w:r w:rsidRPr="00585893">
              <w:rPr>
                <w:color w:val="000000"/>
              </w:rPr>
              <w:t> </w:t>
            </w:r>
          </w:p>
        </w:tc>
      </w:tr>
      <w:tr w:rsidR="00375EBE" w:rsidRPr="00585893" w14:paraId="076106CB" w14:textId="77777777" w:rsidTr="006F53FE">
        <w:trPr>
          <w:trHeight w:val="301"/>
        </w:trPr>
        <w:tc>
          <w:tcPr>
            <w:tcW w:w="6917" w:type="dxa"/>
            <w:tcBorders>
              <w:top w:val="nil"/>
              <w:left w:val="single" w:sz="8" w:space="0" w:color="auto"/>
              <w:bottom w:val="single" w:sz="4" w:space="0" w:color="auto"/>
              <w:right w:val="single" w:sz="8" w:space="0" w:color="auto"/>
            </w:tcBorders>
            <w:shd w:val="clear" w:color="auto" w:fill="auto"/>
            <w:noWrap/>
            <w:vAlign w:val="center"/>
            <w:hideMark/>
          </w:tcPr>
          <w:p w14:paraId="75CDCE1F" w14:textId="588CE5FD" w:rsidR="00375EBE" w:rsidRPr="00585893" w:rsidRDefault="00375EBE" w:rsidP="00375EBE">
            <w:pPr>
              <w:ind w:left="-86" w:firstLineChars="200" w:firstLine="480"/>
              <w:jc w:val="both"/>
              <w:rPr>
                <w:color w:val="000000"/>
              </w:rPr>
            </w:pPr>
            <w:r w:rsidRPr="00585893">
              <w:rPr>
                <w:color w:val="000000"/>
              </w:rPr>
              <w:t>Personnel/Salaries</w:t>
            </w:r>
            <w:r>
              <w:rPr>
                <w:color w:val="000000"/>
              </w:rPr>
              <w:t xml:space="preserve"> (academic staff)</w:t>
            </w:r>
          </w:p>
        </w:tc>
        <w:tc>
          <w:tcPr>
            <w:tcW w:w="2250" w:type="dxa"/>
            <w:tcBorders>
              <w:top w:val="nil"/>
              <w:left w:val="nil"/>
              <w:bottom w:val="single" w:sz="8" w:space="0" w:color="auto"/>
              <w:right w:val="single" w:sz="8" w:space="0" w:color="auto"/>
            </w:tcBorders>
            <w:shd w:val="clear" w:color="auto" w:fill="auto"/>
            <w:vAlign w:val="center"/>
            <w:hideMark/>
          </w:tcPr>
          <w:p w14:paraId="7369661B" w14:textId="32120035" w:rsidR="00375EBE" w:rsidRPr="00585893" w:rsidRDefault="00375EBE" w:rsidP="00375EBE">
            <w:pPr>
              <w:ind w:left="-86"/>
              <w:jc w:val="right"/>
              <w:rPr>
                <w:color w:val="000000"/>
              </w:rPr>
            </w:pPr>
            <w:r>
              <w:rPr>
                <w:color w:val="000000"/>
              </w:rPr>
              <w:t>$12,000.00</w:t>
            </w:r>
          </w:p>
        </w:tc>
      </w:tr>
      <w:tr w:rsidR="00375EBE" w:rsidRPr="00585893" w14:paraId="014F1218" w14:textId="77777777" w:rsidTr="006F53FE">
        <w:trPr>
          <w:trHeight w:val="301"/>
        </w:trPr>
        <w:tc>
          <w:tcPr>
            <w:tcW w:w="6917" w:type="dxa"/>
            <w:tcBorders>
              <w:top w:val="nil"/>
              <w:left w:val="single" w:sz="8" w:space="0" w:color="auto"/>
              <w:bottom w:val="single" w:sz="4" w:space="0" w:color="auto"/>
              <w:right w:val="single" w:sz="8" w:space="0" w:color="auto"/>
            </w:tcBorders>
            <w:shd w:val="clear" w:color="auto" w:fill="auto"/>
            <w:noWrap/>
            <w:vAlign w:val="center"/>
            <w:hideMark/>
          </w:tcPr>
          <w:p w14:paraId="304E41FC" w14:textId="77777777" w:rsidR="00375EBE" w:rsidRPr="00585893" w:rsidRDefault="00375EBE" w:rsidP="00375EBE">
            <w:pPr>
              <w:ind w:left="-86" w:firstLineChars="200" w:firstLine="480"/>
              <w:jc w:val="both"/>
              <w:rPr>
                <w:color w:val="000000"/>
              </w:rPr>
            </w:pPr>
            <w:r w:rsidRPr="00585893">
              <w:rPr>
                <w:color w:val="000000"/>
              </w:rPr>
              <w:t>Fringe Benefits</w:t>
            </w:r>
          </w:p>
        </w:tc>
        <w:tc>
          <w:tcPr>
            <w:tcW w:w="2250" w:type="dxa"/>
            <w:tcBorders>
              <w:top w:val="nil"/>
              <w:left w:val="nil"/>
              <w:bottom w:val="single" w:sz="8" w:space="0" w:color="auto"/>
              <w:right w:val="single" w:sz="8" w:space="0" w:color="auto"/>
            </w:tcBorders>
            <w:shd w:val="clear" w:color="auto" w:fill="auto"/>
            <w:vAlign w:val="center"/>
            <w:hideMark/>
          </w:tcPr>
          <w:p w14:paraId="45463728" w14:textId="22C81F0C" w:rsidR="00375EBE" w:rsidRPr="00585893" w:rsidRDefault="00375EBE" w:rsidP="00375EBE">
            <w:pPr>
              <w:ind w:left="-86"/>
              <w:jc w:val="right"/>
              <w:rPr>
                <w:color w:val="000000"/>
              </w:rPr>
            </w:pPr>
            <w:r>
              <w:rPr>
                <w:color w:val="000000"/>
              </w:rPr>
              <w:t>$5,160.00</w:t>
            </w:r>
          </w:p>
        </w:tc>
      </w:tr>
      <w:tr w:rsidR="00375EBE" w:rsidRPr="00585893" w14:paraId="7855462A" w14:textId="77777777" w:rsidTr="006F53FE">
        <w:trPr>
          <w:trHeight w:val="301"/>
        </w:trPr>
        <w:tc>
          <w:tcPr>
            <w:tcW w:w="6917" w:type="dxa"/>
            <w:tcBorders>
              <w:top w:val="nil"/>
              <w:left w:val="single" w:sz="8" w:space="0" w:color="auto"/>
              <w:bottom w:val="single" w:sz="4" w:space="0" w:color="auto"/>
              <w:right w:val="single" w:sz="8" w:space="0" w:color="auto"/>
            </w:tcBorders>
            <w:shd w:val="clear" w:color="auto" w:fill="auto"/>
            <w:noWrap/>
            <w:vAlign w:val="center"/>
          </w:tcPr>
          <w:p w14:paraId="15D7AC6F" w14:textId="0770471B" w:rsidR="00375EBE" w:rsidRPr="00784818" w:rsidRDefault="00375EBE" w:rsidP="00375EBE">
            <w:pPr>
              <w:ind w:left="-86" w:firstLineChars="200" w:firstLine="480"/>
              <w:jc w:val="both"/>
              <w:rPr>
                <w:bCs/>
                <w:color w:val="000000"/>
              </w:rPr>
            </w:pPr>
            <w:r w:rsidRPr="00784818">
              <w:rPr>
                <w:bCs/>
                <w:color w:val="000000"/>
              </w:rPr>
              <w:t>Personnel/Salaries (LTE)</w:t>
            </w:r>
          </w:p>
        </w:tc>
        <w:tc>
          <w:tcPr>
            <w:tcW w:w="2250" w:type="dxa"/>
            <w:tcBorders>
              <w:top w:val="nil"/>
              <w:left w:val="nil"/>
              <w:bottom w:val="single" w:sz="8" w:space="0" w:color="auto"/>
              <w:right w:val="single" w:sz="8" w:space="0" w:color="auto"/>
            </w:tcBorders>
            <w:shd w:val="clear" w:color="auto" w:fill="auto"/>
            <w:vAlign w:val="center"/>
          </w:tcPr>
          <w:p w14:paraId="0DFEE4C3" w14:textId="4798C308" w:rsidR="00375EBE" w:rsidRPr="00784818" w:rsidRDefault="00375EBE" w:rsidP="00375EBE">
            <w:pPr>
              <w:ind w:left="-86"/>
              <w:jc w:val="right"/>
              <w:rPr>
                <w:color w:val="000000"/>
              </w:rPr>
            </w:pPr>
            <w:r>
              <w:rPr>
                <w:color w:val="000000"/>
              </w:rPr>
              <w:t>$10,000.00</w:t>
            </w:r>
          </w:p>
        </w:tc>
      </w:tr>
      <w:tr w:rsidR="00375EBE" w:rsidRPr="00585893" w14:paraId="06E35096" w14:textId="77777777" w:rsidTr="006F53FE">
        <w:trPr>
          <w:trHeight w:val="301"/>
        </w:trPr>
        <w:tc>
          <w:tcPr>
            <w:tcW w:w="6917" w:type="dxa"/>
            <w:tcBorders>
              <w:top w:val="nil"/>
              <w:left w:val="single" w:sz="8" w:space="0" w:color="auto"/>
              <w:bottom w:val="single" w:sz="4" w:space="0" w:color="auto"/>
              <w:right w:val="single" w:sz="8" w:space="0" w:color="auto"/>
            </w:tcBorders>
            <w:shd w:val="clear" w:color="auto" w:fill="auto"/>
            <w:noWrap/>
            <w:vAlign w:val="center"/>
          </w:tcPr>
          <w:p w14:paraId="0E59CB8D" w14:textId="44CD794D" w:rsidR="00375EBE" w:rsidRPr="00063266" w:rsidRDefault="00375EBE" w:rsidP="00375EBE">
            <w:pPr>
              <w:ind w:left="-86" w:firstLineChars="200" w:firstLine="480"/>
              <w:jc w:val="both"/>
              <w:rPr>
                <w:bCs/>
                <w:color w:val="000000"/>
              </w:rPr>
            </w:pPr>
            <w:r w:rsidRPr="00063266">
              <w:rPr>
                <w:bCs/>
                <w:color w:val="000000"/>
              </w:rPr>
              <w:t>Fringe Benefits</w:t>
            </w:r>
          </w:p>
        </w:tc>
        <w:tc>
          <w:tcPr>
            <w:tcW w:w="2250" w:type="dxa"/>
            <w:tcBorders>
              <w:top w:val="nil"/>
              <w:left w:val="nil"/>
              <w:bottom w:val="single" w:sz="8" w:space="0" w:color="auto"/>
              <w:right w:val="single" w:sz="8" w:space="0" w:color="auto"/>
            </w:tcBorders>
            <w:shd w:val="clear" w:color="auto" w:fill="auto"/>
            <w:vAlign w:val="center"/>
          </w:tcPr>
          <w:p w14:paraId="25E2A8D5" w14:textId="0166E2E4" w:rsidR="00375EBE" w:rsidRPr="00063266" w:rsidRDefault="00375EBE" w:rsidP="00375EBE">
            <w:pPr>
              <w:ind w:left="-86"/>
              <w:jc w:val="right"/>
              <w:rPr>
                <w:color w:val="000000"/>
              </w:rPr>
            </w:pPr>
            <w:r>
              <w:rPr>
                <w:color w:val="000000"/>
              </w:rPr>
              <w:t>$1,800.00</w:t>
            </w:r>
          </w:p>
        </w:tc>
      </w:tr>
      <w:tr w:rsidR="00375EBE" w:rsidRPr="00585893" w14:paraId="623200E0" w14:textId="77777777" w:rsidTr="006F53FE">
        <w:trPr>
          <w:trHeight w:val="301"/>
        </w:trPr>
        <w:tc>
          <w:tcPr>
            <w:tcW w:w="6917" w:type="dxa"/>
            <w:tcBorders>
              <w:top w:val="nil"/>
              <w:left w:val="single" w:sz="8" w:space="0" w:color="auto"/>
              <w:bottom w:val="single" w:sz="4" w:space="0" w:color="auto"/>
              <w:right w:val="single" w:sz="8" w:space="0" w:color="auto"/>
            </w:tcBorders>
            <w:shd w:val="clear" w:color="auto" w:fill="auto"/>
            <w:noWrap/>
            <w:vAlign w:val="center"/>
          </w:tcPr>
          <w:p w14:paraId="11D26AB0" w14:textId="793B1808" w:rsidR="00375EBE" w:rsidRPr="00063266" w:rsidRDefault="00375EBE" w:rsidP="00375EBE">
            <w:pPr>
              <w:ind w:left="-86" w:firstLineChars="200" w:firstLine="480"/>
              <w:rPr>
                <w:bCs/>
                <w:color w:val="000000"/>
              </w:rPr>
            </w:pPr>
            <w:r w:rsidRPr="00063266">
              <w:rPr>
                <w:bCs/>
                <w:color w:val="000000"/>
              </w:rPr>
              <w:t>Personnel/Salaries (students)</w:t>
            </w:r>
          </w:p>
        </w:tc>
        <w:tc>
          <w:tcPr>
            <w:tcW w:w="2250" w:type="dxa"/>
            <w:tcBorders>
              <w:top w:val="nil"/>
              <w:left w:val="nil"/>
              <w:bottom w:val="single" w:sz="8" w:space="0" w:color="auto"/>
              <w:right w:val="single" w:sz="8" w:space="0" w:color="auto"/>
            </w:tcBorders>
            <w:shd w:val="clear" w:color="auto" w:fill="auto"/>
            <w:vAlign w:val="center"/>
          </w:tcPr>
          <w:p w14:paraId="50538BF9" w14:textId="1AEE6E72" w:rsidR="00375EBE" w:rsidRPr="00063266" w:rsidRDefault="00375EBE" w:rsidP="00375EBE">
            <w:pPr>
              <w:ind w:left="-86"/>
              <w:jc w:val="right"/>
              <w:rPr>
                <w:color w:val="000000"/>
              </w:rPr>
            </w:pPr>
            <w:r>
              <w:rPr>
                <w:color w:val="000000"/>
              </w:rPr>
              <w:t>$6,000.00</w:t>
            </w:r>
          </w:p>
        </w:tc>
      </w:tr>
      <w:tr w:rsidR="00375EBE" w:rsidRPr="00585893" w14:paraId="06F5C6D0" w14:textId="77777777" w:rsidTr="006F53FE">
        <w:trPr>
          <w:trHeight w:val="301"/>
        </w:trPr>
        <w:tc>
          <w:tcPr>
            <w:tcW w:w="6917" w:type="dxa"/>
            <w:tcBorders>
              <w:top w:val="nil"/>
              <w:left w:val="single" w:sz="8" w:space="0" w:color="auto"/>
              <w:bottom w:val="single" w:sz="4" w:space="0" w:color="auto"/>
              <w:right w:val="single" w:sz="8" w:space="0" w:color="auto"/>
            </w:tcBorders>
            <w:shd w:val="clear" w:color="auto" w:fill="auto"/>
            <w:noWrap/>
            <w:vAlign w:val="center"/>
          </w:tcPr>
          <w:p w14:paraId="7D950E5B" w14:textId="68B8C839" w:rsidR="00375EBE" w:rsidRPr="00063266" w:rsidRDefault="00375EBE" w:rsidP="00375EBE">
            <w:pPr>
              <w:ind w:left="-86" w:firstLineChars="200" w:firstLine="480"/>
              <w:rPr>
                <w:bCs/>
                <w:color w:val="000000"/>
              </w:rPr>
            </w:pPr>
            <w:r w:rsidRPr="00063266">
              <w:rPr>
                <w:bCs/>
                <w:color w:val="000000"/>
              </w:rPr>
              <w:t>Fringe Benefits</w:t>
            </w:r>
          </w:p>
        </w:tc>
        <w:tc>
          <w:tcPr>
            <w:tcW w:w="2250" w:type="dxa"/>
            <w:tcBorders>
              <w:top w:val="nil"/>
              <w:left w:val="nil"/>
              <w:bottom w:val="single" w:sz="8" w:space="0" w:color="auto"/>
              <w:right w:val="single" w:sz="8" w:space="0" w:color="auto"/>
            </w:tcBorders>
            <w:shd w:val="clear" w:color="auto" w:fill="auto"/>
            <w:vAlign w:val="center"/>
          </w:tcPr>
          <w:p w14:paraId="5A54A255" w14:textId="2099514D" w:rsidR="00375EBE" w:rsidRPr="00205844" w:rsidRDefault="00375EBE" w:rsidP="00375EBE">
            <w:pPr>
              <w:ind w:left="-86"/>
              <w:jc w:val="right"/>
              <w:rPr>
                <w:color w:val="000000"/>
              </w:rPr>
            </w:pPr>
            <w:r>
              <w:rPr>
                <w:color w:val="000000"/>
              </w:rPr>
              <w:t>$180.00</w:t>
            </w:r>
          </w:p>
        </w:tc>
      </w:tr>
      <w:tr w:rsidR="00375EBE" w:rsidRPr="00585893" w14:paraId="79CB84D4" w14:textId="77777777" w:rsidTr="006F53FE">
        <w:trPr>
          <w:trHeight w:val="301"/>
        </w:trPr>
        <w:tc>
          <w:tcPr>
            <w:tcW w:w="6917" w:type="dxa"/>
            <w:tcBorders>
              <w:top w:val="nil"/>
              <w:left w:val="single" w:sz="8" w:space="0" w:color="auto"/>
              <w:bottom w:val="single" w:sz="4" w:space="0" w:color="auto"/>
              <w:right w:val="single" w:sz="8" w:space="0" w:color="auto"/>
            </w:tcBorders>
            <w:shd w:val="clear" w:color="auto" w:fill="auto"/>
            <w:noWrap/>
            <w:vAlign w:val="center"/>
            <w:hideMark/>
          </w:tcPr>
          <w:p w14:paraId="5175DBE3" w14:textId="52C86DE9" w:rsidR="00375EBE" w:rsidRPr="00585893" w:rsidRDefault="00375EBE" w:rsidP="00375EBE">
            <w:pPr>
              <w:ind w:left="-86" w:firstLineChars="200" w:firstLine="482"/>
              <w:jc w:val="right"/>
              <w:rPr>
                <w:b/>
                <w:bCs/>
                <w:color w:val="000000"/>
              </w:rPr>
            </w:pPr>
            <w:r>
              <w:rPr>
                <w:b/>
                <w:bCs/>
                <w:color w:val="000000"/>
              </w:rPr>
              <w:t>Sub total</w:t>
            </w:r>
          </w:p>
        </w:tc>
        <w:tc>
          <w:tcPr>
            <w:tcW w:w="2250" w:type="dxa"/>
            <w:tcBorders>
              <w:top w:val="nil"/>
              <w:left w:val="nil"/>
              <w:bottom w:val="single" w:sz="8" w:space="0" w:color="auto"/>
              <w:right w:val="single" w:sz="8" w:space="0" w:color="auto"/>
            </w:tcBorders>
            <w:shd w:val="clear" w:color="auto" w:fill="auto"/>
            <w:vAlign w:val="center"/>
            <w:hideMark/>
          </w:tcPr>
          <w:p w14:paraId="31818402" w14:textId="482FC105" w:rsidR="00375EBE" w:rsidRPr="00340DA6" w:rsidRDefault="00375EBE" w:rsidP="00375EBE">
            <w:pPr>
              <w:ind w:left="-86"/>
              <w:jc w:val="right"/>
              <w:rPr>
                <w:b/>
                <w:color w:val="000000"/>
              </w:rPr>
            </w:pPr>
            <w:r>
              <w:rPr>
                <w:b/>
                <w:bCs/>
                <w:color w:val="000000"/>
              </w:rPr>
              <w:t>$35,140.00</w:t>
            </w:r>
          </w:p>
        </w:tc>
      </w:tr>
      <w:tr w:rsidR="00375EBE" w:rsidRPr="00585893" w14:paraId="283F4CDF" w14:textId="77777777" w:rsidTr="006F53FE">
        <w:trPr>
          <w:trHeight w:val="301"/>
        </w:trPr>
        <w:tc>
          <w:tcPr>
            <w:tcW w:w="6917" w:type="dxa"/>
            <w:tcBorders>
              <w:top w:val="nil"/>
              <w:left w:val="single" w:sz="8" w:space="0" w:color="auto"/>
              <w:bottom w:val="single" w:sz="4" w:space="0" w:color="auto"/>
              <w:right w:val="single" w:sz="8" w:space="0" w:color="auto"/>
            </w:tcBorders>
            <w:shd w:val="clear" w:color="auto" w:fill="auto"/>
            <w:noWrap/>
            <w:vAlign w:val="center"/>
            <w:hideMark/>
          </w:tcPr>
          <w:p w14:paraId="3CA146FE" w14:textId="0CD5106B" w:rsidR="00375EBE" w:rsidRPr="004042FD" w:rsidRDefault="00375EBE" w:rsidP="00375EBE">
            <w:pPr>
              <w:ind w:left="-86"/>
              <w:rPr>
                <w:b/>
                <w:bCs/>
                <w:color w:val="000000"/>
              </w:rPr>
            </w:pPr>
            <w:r w:rsidRPr="000B54E3">
              <w:rPr>
                <w:b/>
                <w:color w:val="000000"/>
              </w:rPr>
              <w:t>UW-Green Bay</w:t>
            </w:r>
          </w:p>
        </w:tc>
        <w:tc>
          <w:tcPr>
            <w:tcW w:w="2250" w:type="dxa"/>
            <w:tcBorders>
              <w:top w:val="nil"/>
              <w:left w:val="nil"/>
              <w:bottom w:val="single" w:sz="8" w:space="0" w:color="auto"/>
              <w:right w:val="single" w:sz="8" w:space="0" w:color="auto"/>
            </w:tcBorders>
            <w:shd w:val="clear" w:color="auto" w:fill="auto"/>
            <w:vAlign w:val="center"/>
            <w:hideMark/>
          </w:tcPr>
          <w:p w14:paraId="122D5E42" w14:textId="6437E0A3" w:rsidR="00375EBE" w:rsidRPr="00585893" w:rsidRDefault="00375EBE" w:rsidP="00375EBE">
            <w:pPr>
              <w:ind w:left="-86"/>
              <w:jc w:val="right"/>
              <w:rPr>
                <w:color w:val="000000"/>
              </w:rPr>
            </w:pPr>
            <w:r>
              <w:rPr>
                <w:color w:val="000000"/>
              </w:rPr>
              <w:t> </w:t>
            </w:r>
          </w:p>
        </w:tc>
      </w:tr>
      <w:tr w:rsidR="00375EBE" w:rsidRPr="00585893" w14:paraId="5A2484FD" w14:textId="77777777" w:rsidTr="006F53FE">
        <w:trPr>
          <w:trHeight w:val="301"/>
        </w:trPr>
        <w:tc>
          <w:tcPr>
            <w:tcW w:w="6917" w:type="dxa"/>
            <w:tcBorders>
              <w:top w:val="nil"/>
              <w:left w:val="single" w:sz="8" w:space="0" w:color="auto"/>
              <w:bottom w:val="single" w:sz="4" w:space="0" w:color="auto"/>
              <w:right w:val="single" w:sz="8" w:space="0" w:color="auto"/>
            </w:tcBorders>
            <w:shd w:val="clear" w:color="auto" w:fill="auto"/>
            <w:noWrap/>
            <w:vAlign w:val="center"/>
          </w:tcPr>
          <w:p w14:paraId="1F74C581" w14:textId="32214A2F" w:rsidR="00375EBE" w:rsidRPr="004042FD" w:rsidRDefault="00375EBE" w:rsidP="00375EBE">
            <w:pPr>
              <w:ind w:left="-86" w:firstLineChars="200" w:firstLine="480"/>
              <w:rPr>
                <w:color w:val="000000"/>
              </w:rPr>
            </w:pPr>
            <w:r w:rsidRPr="000B54E3">
              <w:rPr>
                <w:bCs/>
                <w:color w:val="000000"/>
              </w:rPr>
              <w:t>Travel</w:t>
            </w:r>
            <w:r w:rsidRPr="004042FD">
              <w:rPr>
                <w:color w:val="000000"/>
              </w:rPr>
              <w:t xml:space="preserve"> </w:t>
            </w:r>
            <w:r>
              <w:rPr>
                <w:color w:val="000000"/>
              </w:rPr>
              <w:t xml:space="preserve">(including boat travel) </w:t>
            </w:r>
          </w:p>
        </w:tc>
        <w:tc>
          <w:tcPr>
            <w:tcW w:w="2250" w:type="dxa"/>
            <w:tcBorders>
              <w:top w:val="nil"/>
              <w:left w:val="nil"/>
              <w:bottom w:val="single" w:sz="8" w:space="0" w:color="auto"/>
              <w:right w:val="single" w:sz="8" w:space="0" w:color="auto"/>
            </w:tcBorders>
            <w:shd w:val="clear" w:color="auto" w:fill="auto"/>
            <w:vAlign w:val="center"/>
          </w:tcPr>
          <w:p w14:paraId="5DC9AC12" w14:textId="144AE8C1" w:rsidR="00375EBE" w:rsidRPr="00FB08B7" w:rsidRDefault="00375EBE" w:rsidP="00375EBE">
            <w:pPr>
              <w:ind w:left="-86"/>
              <w:jc w:val="right"/>
              <w:rPr>
                <w:color w:val="000000"/>
              </w:rPr>
            </w:pPr>
            <w:r>
              <w:rPr>
                <w:color w:val="000000"/>
              </w:rPr>
              <w:t>$1,800.00</w:t>
            </w:r>
          </w:p>
        </w:tc>
      </w:tr>
      <w:tr w:rsidR="00375EBE" w:rsidRPr="00585893" w14:paraId="262D0599" w14:textId="77777777" w:rsidTr="006F53FE">
        <w:trPr>
          <w:trHeight w:val="301"/>
        </w:trPr>
        <w:tc>
          <w:tcPr>
            <w:tcW w:w="6917" w:type="dxa"/>
            <w:tcBorders>
              <w:top w:val="nil"/>
              <w:left w:val="single" w:sz="8" w:space="0" w:color="auto"/>
              <w:bottom w:val="single" w:sz="4" w:space="0" w:color="auto"/>
              <w:right w:val="single" w:sz="8" w:space="0" w:color="auto"/>
            </w:tcBorders>
            <w:shd w:val="clear" w:color="auto" w:fill="auto"/>
            <w:noWrap/>
            <w:vAlign w:val="center"/>
          </w:tcPr>
          <w:p w14:paraId="460ED1F9" w14:textId="3CA7AA01" w:rsidR="00375EBE" w:rsidRPr="004042FD" w:rsidRDefault="00375EBE" w:rsidP="00375EBE">
            <w:pPr>
              <w:ind w:left="-86" w:firstLineChars="200" w:firstLine="480"/>
              <w:rPr>
                <w:color w:val="000000"/>
              </w:rPr>
            </w:pPr>
            <w:r w:rsidRPr="000B54E3">
              <w:rPr>
                <w:bCs/>
                <w:color w:val="000000"/>
              </w:rPr>
              <w:t>Supplies</w:t>
            </w:r>
            <w:r w:rsidRPr="004042FD" w:rsidDel="00213D94">
              <w:rPr>
                <w:color w:val="000000"/>
              </w:rPr>
              <w:t xml:space="preserve"> </w:t>
            </w:r>
          </w:p>
        </w:tc>
        <w:tc>
          <w:tcPr>
            <w:tcW w:w="2250" w:type="dxa"/>
            <w:tcBorders>
              <w:top w:val="nil"/>
              <w:left w:val="nil"/>
              <w:bottom w:val="single" w:sz="8" w:space="0" w:color="auto"/>
              <w:right w:val="single" w:sz="8" w:space="0" w:color="auto"/>
            </w:tcBorders>
            <w:shd w:val="clear" w:color="auto" w:fill="auto"/>
            <w:vAlign w:val="center"/>
          </w:tcPr>
          <w:p w14:paraId="419A2528" w14:textId="7E6F756F" w:rsidR="00375EBE" w:rsidRPr="00585893" w:rsidRDefault="00375EBE" w:rsidP="00375EBE">
            <w:pPr>
              <w:ind w:left="-86"/>
              <w:jc w:val="right"/>
              <w:rPr>
                <w:color w:val="000000"/>
              </w:rPr>
            </w:pPr>
            <w:r>
              <w:rPr>
                <w:color w:val="000000"/>
              </w:rPr>
              <w:t>$300.00</w:t>
            </w:r>
          </w:p>
        </w:tc>
      </w:tr>
      <w:tr w:rsidR="00375EBE" w:rsidRPr="00585893" w14:paraId="289B0499" w14:textId="77777777" w:rsidTr="006F53FE">
        <w:trPr>
          <w:trHeight w:val="301"/>
        </w:trPr>
        <w:tc>
          <w:tcPr>
            <w:tcW w:w="6917" w:type="dxa"/>
            <w:tcBorders>
              <w:top w:val="nil"/>
              <w:left w:val="single" w:sz="8" w:space="0" w:color="auto"/>
              <w:bottom w:val="single" w:sz="4" w:space="0" w:color="auto"/>
              <w:right w:val="single" w:sz="8" w:space="0" w:color="auto"/>
            </w:tcBorders>
            <w:shd w:val="clear" w:color="auto" w:fill="auto"/>
            <w:noWrap/>
            <w:vAlign w:val="center"/>
          </w:tcPr>
          <w:p w14:paraId="034B98BD" w14:textId="512AD269" w:rsidR="00375EBE" w:rsidRPr="004042FD" w:rsidRDefault="00375EBE" w:rsidP="00375EBE">
            <w:pPr>
              <w:ind w:left="-86" w:firstLineChars="200" w:firstLine="480"/>
              <w:rPr>
                <w:color w:val="000000"/>
              </w:rPr>
            </w:pPr>
            <w:r w:rsidRPr="000B54E3">
              <w:rPr>
                <w:color w:val="000000"/>
              </w:rPr>
              <w:t>Other Costs</w:t>
            </w:r>
          </w:p>
        </w:tc>
        <w:tc>
          <w:tcPr>
            <w:tcW w:w="2250" w:type="dxa"/>
            <w:tcBorders>
              <w:top w:val="nil"/>
              <w:left w:val="nil"/>
              <w:bottom w:val="single" w:sz="8" w:space="0" w:color="auto"/>
              <w:right w:val="single" w:sz="8" w:space="0" w:color="auto"/>
            </w:tcBorders>
            <w:shd w:val="clear" w:color="auto" w:fill="auto"/>
            <w:vAlign w:val="center"/>
          </w:tcPr>
          <w:p w14:paraId="062F4F26" w14:textId="3308D87C" w:rsidR="00375EBE" w:rsidRPr="00FB08B7" w:rsidRDefault="00375EBE" w:rsidP="00375EBE">
            <w:pPr>
              <w:ind w:left="-86"/>
              <w:jc w:val="right"/>
              <w:rPr>
                <w:color w:val="000000"/>
              </w:rPr>
            </w:pPr>
            <w:r>
              <w:rPr>
                <w:color w:val="000000"/>
              </w:rPr>
              <w:t>$150.00</w:t>
            </w:r>
          </w:p>
        </w:tc>
      </w:tr>
      <w:tr w:rsidR="00375EBE" w:rsidRPr="00585893" w14:paraId="6F12A2DA" w14:textId="77777777" w:rsidTr="006F53FE">
        <w:trPr>
          <w:trHeight w:val="301"/>
        </w:trPr>
        <w:tc>
          <w:tcPr>
            <w:tcW w:w="6917" w:type="dxa"/>
            <w:tcBorders>
              <w:top w:val="nil"/>
              <w:left w:val="single" w:sz="8" w:space="0" w:color="auto"/>
              <w:bottom w:val="single" w:sz="4" w:space="0" w:color="auto"/>
              <w:right w:val="single" w:sz="8" w:space="0" w:color="auto"/>
            </w:tcBorders>
            <w:shd w:val="clear" w:color="auto" w:fill="auto"/>
            <w:noWrap/>
            <w:vAlign w:val="center"/>
          </w:tcPr>
          <w:p w14:paraId="5E0C3247" w14:textId="5C800047" w:rsidR="00375EBE" w:rsidRPr="00340DA6" w:rsidRDefault="00375EBE" w:rsidP="00375EBE">
            <w:pPr>
              <w:ind w:left="-86" w:firstLineChars="200" w:firstLine="482"/>
              <w:jc w:val="right"/>
              <w:rPr>
                <w:b/>
                <w:color w:val="000000"/>
              </w:rPr>
            </w:pPr>
            <w:r>
              <w:rPr>
                <w:b/>
                <w:color w:val="000000"/>
              </w:rPr>
              <w:t>Sub total</w:t>
            </w:r>
          </w:p>
        </w:tc>
        <w:tc>
          <w:tcPr>
            <w:tcW w:w="2250" w:type="dxa"/>
            <w:tcBorders>
              <w:top w:val="nil"/>
              <w:left w:val="nil"/>
              <w:bottom w:val="single" w:sz="8" w:space="0" w:color="auto"/>
              <w:right w:val="single" w:sz="8" w:space="0" w:color="auto"/>
            </w:tcBorders>
            <w:shd w:val="clear" w:color="auto" w:fill="auto"/>
            <w:vAlign w:val="center"/>
          </w:tcPr>
          <w:p w14:paraId="14F1BFB0" w14:textId="38B027D5" w:rsidR="00375EBE" w:rsidRPr="00340DA6" w:rsidRDefault="00375EBE" w:rsidP="00FD6558">
            <w:pPr>
              <w:ind w:left="-86"/>
              <w:jc w:val="right"/>
              <w:rPr>
                <w:b/>
                <w:color w:val="000000"/>
              </w:rPr>
            </w:pPr>
            <w:r>
              <w:rPr>
                <w:b/>
                <w:bCs/>
                <w:color w:val="000000"/>
              </w:rPr>
              <w:t>$</w:t>
            </w:r>
            <w:r w:rsidR="00FD6558">
              <w:rPr>
                <w:b/>
                <w:bCs/>
                <w:color w:val="000000"/>
              </w:rPr>
              <w:t>2</w:t>
            </w:r>
            <w:r>
              <w:rPr>
                <w:b/>
                <w:bCs/>
                <w:color w:val="000000"/>
              </w:rPr>
              <w:t>,</w:t>
            </w:r>
            <w:r w:rsidR="00FD6558">
              <w:rPr>
                <w:b/>
                <w:bCs/>
                <w:color w:val="000000"/>
              </w:rPr>
              <w:t>2</w:t>
            </w:r>
            <w:r>
              <w:rPr>
                <w:b/>
                <w:bCs/>
                <w:color w:val="000000"/>
              </w:rPr>
              <w:t>50.00</w:t>
            </w:r>
          </w:p>
        </w:tc>
      </w:tr>
      <w:tr w:rsidR="00375EBE" w:rsidRPr="00585893" w14:paraId="5281FA14" w14:textId="77777777" w:rsidTr="006F53FE">
        <w:trPr>
          <w:trHeight w:val="485"/>
        </w:trPr>
        <w:tc>
          <w:tcPr>
            <w:tcW w:w="6917" w:type="dxa"/>
            <w:tcBorders>
              <w:top w:val="nil"/>
              <w:left w:val="single" w:sz="8" w:space="0" w:color="auto"/>
              <w:bottom w:val="single" w:sz="4" w:space="0" w:color="auto"/>
              <w:right w:val="single" w:sz="8" w:space="0" w:color="auto"/>
            </w:tcBorders>
            <w:shd w:val="clear" w:color="auto" w:fill="auto"/>
            <w:noWrap/>
            <w:vAlign w:val="center"/>
            <w:hideMark/>
          </w:tcPr>
          <w:p w14:paraId="2EE1AF74" w14:textId="25370B13" w:rsidR="00375EBE" w:rsidRPr="00585893" w:rsidRDefault="00375EBE" w:rsidP="00375EBE">
            <w:pPr>
              <w:ind w:left="-86"/>
              <w:rPr>
                <w:b/>
                <w:bCs/>
                <w:color w:val="000000"/>
              </w:rPr>
            </w:pPr>
            <w:r w:rsidRPr="00585893">
              <w:rPr>
                <w:b/>
                <w:bCs/>
                <w:color w:val="000000"/>
              </w:rPr>
              <w:t>Total Direct Charges</w:t>
            </w:r>
          </w:p>
        </w:tc>
        <w:tc>
          <w:tcPr>
            <w:tcW w:w="2250" w:type="dxa"/>
            <w:tcBorders>
              <w:top w:val="nil"/>
              <w:left w:val="nil"/>
              <w:bottom w:val="single" w:sz="8" w:space="0" w:color="auto"/>
              <w:right w:val="single" w:sz="8" w:space="0" w:color="auto"/>
            </w:tcBorders>
            <w:shd w:val="clear" w:color="auto" w:fill="auto"/>
            <w:vAlign w:val="center"/>
            <w:hideMark/>
          </w:tcPr>
          <w:p w14:paraId="2314C17F" w14:textId="13092F4A" w:rsidR="00375EBE" w:rsidRPr="00585893" w:rsidRDefault="00375EBE" w:rsidP="00FD6558">
            <w:pPr>
              <w:jc w:val="right"/>
              <w:rPr>
                <w:color w:val="000000"/>
              </w:rPr>
            </w:pPr>
            <w:r>
              <w:rPr>
                <w:b/>
                <w:bCs/>
                <w:color w:val="000000"/>
                <w:szCs w:val="22"/>
              </w:rPr>
              <w:t>$3</w:t>
            </w:r>
            <w:r w:rsidR="00FD6558">
              <w:rPr>
                <w:b/>
                <w:bCs/>
                <w:color w:val="000000"/>
                <w:szCs w:val="22"/>
              </w:rPr>
              <w:t>7</w:t>
            </w:r>
            <w:r>
              <w:rPr>
                <w:b/>
                <w:bCs/>
                <w:color w:val="000000"/>
                <w:szCs w:val="22"/>
              </w:rPr>
              <w:t>,</w:t>
            </w:r>
            <w:r w:rsidR="00FD6558">
              <w:rPr>
                <w:b/>
                <w:bCs/>
                <w:color w:val="000000"/>
                <w:szCs w:val="22"/>
              </w:rPr>
              <w:t>3</w:t>
            </w:r>
            <w:r>
              <w:rPr>
                <w:b/>
                <w:bCs/>
                <w:color w:val="000000"/>
                <w:szCs w:val="22"/>
              </w:rPr>
              <w:t>90.00</w:t>
            </w:r>
          </w:p>
        </w:tc>
      </w:tr>
      <w:tr w:rsidR="00375EBE" w:rsidRPr="00585893" w14:paraId="0E1C6795" w14:textId="77777777" w:rsidTr="006F53FE">
        <w:trPr>
          <w:trHeight w:val="301"/>
        </w:trPr>
        <w:tc>
          <w:tcPr>
            <w:tcW w:w="6917" w:type="dxa"/>
            <w:tcBorders>
              <w:top w:val="nil"/>
              <w:left w:val="single" w:sz="8" w:space="0" w:color="auto"/>
              <w:bottom w:val="single" w:sz="4" w:space="0" w:color="auto"/>
              <w:right w:val="single" w:sz="8" w:space="0" w:color="auto"/>
            </w:tcBorders>
            <w:shd w:val="clear" w:color="auto" w:fill="auto"/>
            <w:noWrap/>
            <w:vAlign w:val="center"/>
            <w:hideMark/>
          </w:tcPr>
          <w:p w14:paraId="5F63B811" w14:textId="02C959AE" w:rsidR="00375EBE" w:rsidRPr="00585893" w:rsidRDefault="00375EBE" w:rsidP="00375EBE">
            <w:pPr>
              <w:ind w:left="-86"/>
              <w:rPr>
                <w:b/>
                <w:bCs/>
                <w:color w:val="000000"/>
              </w:rPr>
            </w:pPr>
            <w:r w:rsidRPr="00585893">
              <w:rPr>
                <w:b/>
                <w:bCs/>
                <w:color w:val="000000"/>
              </w:rPr>
              <w:t>Indirect Charges</w:t>
            </w:r>
            <w:r>
              <w:rPr>
                <w:b/>
                <w:bCs/>
                <w:color w:val="000000"/>
              </w:rPr>
              <w:t xml:space="preserve"> UW-Green Bay (15% salaries and fringes)</w:t>
            </w:r>
          </w:p>
        </w:tc>
        <w:tc>
          <w:tcPr>
            <w:tcW w:w="2250" w:type="dxa"/>
            <w:tcBorders>
              <w:top w:val="nil"/>
              <w:left w:val="nil"/>
              <w:bottom w:val="single" w:sz="8" w:space="0" w:color="auto"/>
              <w:right w:val="single" w:sz="8" w:space="0" w:color="auto"/>
            </w:tcBorders>
            <w:shd w:val="clear" w:color="auto" w:fill="auto"/>
            <w:vAlign w:val="center"/>
            <w:hideMark/>
          </w:tcPr>
          <w:p w14:paraId="0F99461C" w14:textId="110DE550" w:rsidR="00375EBE" w:rsidRPr="00585893" w:rsidRDefault="00375EBE" w:rsidP="00FD6558">
            <w:pPr>
              <w:ind w:left="-86"/>
              <w:jc w:val="right"/>
              <w:rPr>
                <w:color w:val="000000"/>
              </w:rPr>
            </w:pPr>
            <w:r>
              <w:rPr>
                <w:color w:val="000000"/>
              </w:rPr>
              <w:t>$5,27</w:t>
            </w:r>
            <w:r w:rsidR="00FD6558">
              <w:rPr>
                <w:color w:val="000000"/>
              </w:rPr>
              <w:t>1</w:t>
            </w:r>
            <w:r>
              <w:rPr>
                <w:color w:val="000000"/>
              </w:rPr>
              <w:t>.00</w:t>
            </w:r>
          </w:p>
        </w:tc>
      </w:tr>
      <w:tr w:rsidR="00375EBE" w:rsidRPr="00585893" w14:paraId="194853D6" w14:textId="77777777" w:rsidTr="00441210">
        <w:trPr>
          <w:trHeight w:val="142"/>
        </w:trPr>
        <w:tc>
          <w:tcPr>
            <w:tcW w:w="6917" w:type="dxa"/>
            <w:tcBorders>
              <w:top w:val="nil"/>
              <w:left w:val="single" w:sz="8" w:space="0" w:color="auto"/>
              <w:bottom w:val="single" w:sz="8" w:space="0" w:color="auto"/>
              <w:right w:val="nil"/>
            </w:tcBorders>
            <w:shd w:val="clear" w:color="auto" w:fill="auto"/>
            <w:noWrap/>
            <w:vAlign w:val="center"/>
          </w:tcPr>
          <w:p w14:paraId="0142E062" w14:textId="45D581CA" w:rsidR="00375EBE" w:rsidRPr="00585893" w:rsidRDefault="00375EBE" w:rsidP="00375EBE">
            <w:pPr>
              <w:rPr>
                <w:bCs/>
                <w:color w:val="000000"/>
              </w:rPr>
            </w:pPr>
          </w:p>
        </w:tc>
        <w:tc>
          <w:tcPr>
            <w:tcW w:w="2250" w:type="dxa"/>
            <w:tcBorders>
              <w:top w:val="nil"/>
              <w:left w:val="single" w:sz="8" w:space="0" w:color="auto"/>
              <w:bottom w:val="single" w:sz="8" w:space="0" w:color="auto"/>
              <w:right w:val="single" w:sz="8" w:space="0" w:color="auto"/>
            </w:tcBorders>
            <w:shd w:val="clear" w:color="auto" w:fill="auto"/>
            <w:vAlign w:val="center"/>
          </w:tcPr>
          <w:p w14:paraId="7DA6C1E0" w14:textId="1F46C8EA" w:rsidR="00375EBE" w:rsidRPr="00585893" w:rsidRDefault="00375EBE" w:rsidP="00375EBE">
            <w:pPr>
              <w:ind w:left="-86"/>
              <w:jc w:val="right"/>
              <w:rPr>
                <w:b/>
                <w:bCs/>
                <w:color w:val="000000"/>
              </w:rPr>
            </w:pPr>
            <w:r>
              <w:rPr>
                <w:b/>
                <w:bCs/>
                <w:color w:val="000000"/>
              </w:rPr>
              <w:t> </w:t>
            </w:r>
          </w:p>
        </w:tc>
      </w:tr>
      <w:tr w:rsidR="00375EBE" w:rsidRPr="00585893" w14:paraId="64982219" w14:textId="77777777" w:rsidTr="006F53FE">
        <w:trPr>
          <w:trHeight w:val="301"/>
        </w:trPr>
        <w:tc>
          <w:tcPr>
            <w:tcW w:w="6917" w:type="dxa"/>
            <w:tcBorders>
              <w:top w:val="nil"/>
              <w:left w:val="single" w:sz="8" w:space="0" w:color="auto"/>
              <w:bottom w:val="single" w:sz="8" w:space="0" w:color="auto"/>
              <w:right w:val="nil"/>
            </w:tcBorders>
            <w:shd w:val="clear" w:color="auto" w:fill="auto"/>
            <w:noWrap/>
            <w:vAlign w:val="center"/>
            <w:hideMark/>
          </w:tcPr>
          <w:p w14:paraId="06C4E6CA" w14:textId="6EAAB099" w:rsidR="00375EBE" w:rsidRPr="00585893" w:rsidRDefault="00375EBE" w:rsidP="00375EBE">
            <w:pPr>
              <w:ind w:left="-86"/>
              <w:rPr>
                <w:b/>
                <w:bCs/>
                <w:color w:val="000000"/>
              </w:rPr>
            </w:pPr>
            <w:r w:rsidRPr="00585893">
              <w:rPr>
                <w:b/>
                <w:bCs/>
                <w:color w:val="000000"/>
              </w:rPr>
              <w:t>Total Cost</w:t>
            </w:r>
            <w:r>
              <w:rPr>
                <w:b/>
                <w:bCs/>
                <w:color w:val="000000"/>
              </w:rPr>
              <w:t xml:space="preserve"> </w:t>
            </w:r>
          </w:p>
        </w:tc>
        <w:tc>
          <w:tcPr>
            <w:tcW w:w="2250" w:type="dxa"/>
            <w:tcBorders>
              <w:top w:val="nil"/>
              <w:left w:val="single" w:sz="8" w:space="0" w:color="auto"/>
              <w:bottom w:val="single" w:sz="8" w:space="0" w:color="auto"/>
              <w:right w:val="single" w:sz="8" w:space="0" w:color="auto"/>
            </w:tcBorders>
            <w:shd w:val="clear" w:color="auto" w:fill="auto"/>
            <w:vAlign w:val="center"/>
            <w:hideMark/>
          </w:tcPr>
          <w:p w14:paraId="4AD68B64" w14:textId="4BFFADC4" w:rsidR="00375EBE" w:rsidRPr="00BF73A7" w:rsidRDefault="00375EBE" w:rsidP="00FD6558">
            <w:pPr>
              <w:jc w:val="right"/>
              <w:rPr>
                <w:b/>
                <w:bCs/>
                <w:color w:val="000000"/>
              </w:rPr>
            </w:pPr>
            <w:r>
              <w:rPr>
                <w:b/>
                <w:bCs/>
                <w:color w:val="000000"/>
              </w:rPr>
              <w:t>$4</w:t>
            </w:r>
            <w:r w:rsidR="00FD6558">
              <w:rPr>
                <w:b/>
                <w:bCs/>
                <w:color w:val="000000"/>
              </w:rPr>
              <w:t>2</w:t>
            </w:r>
            <w:r>
              <w:rPr>
                <w:b/>
                <w:bCs/>
                <w:color w:val="000000"/>
              </w:rPr>
              <w:t>,</w:t>
            </w:r>
            <w:r w:rsidR="00FD6558">
              <w:rPr>
                <w:b/>
                <w:bCs/>
                <w:color w:val="000000"/>
              </w:rPr>
              <w:t>661</w:t>
            </w:r>
            <w:r>
              <w:rPr>
                <w:b/>
                <w:bCs/>
                <w:color w:val="000000"/>
              </w:rPr>
              <w:t>.00</w:t>
            </w:r>
          </w:p>
        </w:tc>
      </w:tr>
    </w:tbl>
    <w:p w14:paraId="6E94BD8B" w14:textId="77777777" w:rsidR="00487C41" w:rsidRDefault="00487C41" w:rsidP="000B54E3">
      <w:pPr>
        <w:jc w:val="both"/>
        <w:rPr>
          <w:i/>
        </w:rPr>
      </w:pPr>
    </w:p>
    <w:p w14:paraId="1D7EE79C" w14:textId="1F84AF85" w:rsidR="00C14D53" w:rsidRPr="000F52A7" w:rsidRDefault="000F52A7" w:rsidP="000F52A7">
      <w:pPr>
        <w:spacing w:line="360" w:lineRule="auto"/>
        <w:rPr>
          <w:b/>
        </w:rPr>
      </w:pPr>
      <w:r>
        <w:rPr>
          <w:b/>
        </w:rPr>
        <w:t>Budget Narrative</w:t>
      </w:r>
    </w:p>
    <w:p w14:paraId="6FACCEC0" w14:textId="37FDB978" w:rsidR="00C14D53" w:rsidRPr="00C14D53" w:rsidRDefault="00181CC8" w:rsidP="002B44BD">
      <w:pPr>
        <w:spacing w:line="360" w:lineRule="auto"/>
      </w:pPr>
      <w:r w:rsidRPr="00C14D53">
        <w:rPr>
          <w:i/>
          <w:u w:val="single"/>
        </w:rPr>
        <w:t>Salaries</w:t>
      </w:r>
      <w:r w:rsidR="00C14D53">
        <w:t>:</w:t>
      </w:r>
    </w:p>
    <w:p w14:paraId="53E5FF4C" w14:textId="06088F12" w:rsidR="00410057" w:rsidRDefault="00181CC8" w:rsidP="00410057">
      <w:pPr>
        <w:jc w:val="both"/>
      </w:pPr>
      <w:r w:rsidRPr="00C14D53">
        <w:rPr>
          <w:u w:val="single"/>
        </w:rPr>
        <w:t>UW-Green Bay</w:t>
      </w:r>
      <w:r>
        <w:t xml:space="preserve">:  UW-Green Bay </w:t>
      </w:r>
      <w:r w:rsidR="00063266">
        <w:t xml:space="preserve">leaders of </w:t>
      </w:r>
      <w:r>
        <w:t xml:space="preserve">this project will include </w:t>
      </w:r>
      <w:r w:rsidR="00063266">
        <w:t xml:space="preserve">Principal Investigators </w:t>
      </w:r>
      <w:r w:rsidR="002E3578">
        <w:t xml:space="preserve">Dr. </w:t>
      </w:r>
      <w:r w:rsidR="00063266">
        <w:t>Robert Howe</w:t>
      </w:r>
      <w:r w:rsidR="002E3578">
        <w:t xml:space="preserve">, Dr. </w:t>
      </w:r>
      <w:r w:rsidR="00063266">
        <w:t>Amy Wolf</w:t>
      </w:r>
      <w:r w:rsidR="002E3578">
        <w:t>,</w:t>
      </w:r>
      <w:r w:rsidR="00063266">
        <w:t xml:space="preserve"> and </w:t>
      </w:r>
      <w:r w:rsidR="009660D1">
        <w:t xml:space="preserve">Senior </w:t>
      </w:r>
      <w:bookmarkStart w:id="0" w:name="_GoBack"/>
      <w:bookmarkEnd w:id="0"/>
      <w:r w:rsidR="009660D1">
        <w:t xml:space="preserve">Research </w:t>
      </w:r>
      <w:r>
        <w:t>Specialist Erin Giese</w:t>
      </w:r>
      <w:r w:rsidR="00063266">
        <w:t>. Their time</w:t>
      </w:r>
      <w:r w:rsidR="00205844">
        <w:t xml:space="preserve"> will be contributed as part of their existing University appointments and are not included in the budget above. Other contributors to the project include </w:t>
      </w:r>
      <w:proofErr w:type="spellStart"/>
      <w:r w:rsidR="00205844">
        <w:t>Cofrin</w:t>
      </w:r>
      <w:proofErr w:type="spellEnd"/>
      <w:r w:rsidR="00205844">
        <w:t xml:space="preserve"> Center for Biodiversity Botanist Dr. James Horn and Natural Areas Ecologist Bobbie Webster, who will be responsible for field surveys and mapping native plant remnants. We will </w:t>
      </w:r>
      <w:r w:rsidR="007118A1">
        <w:t xml:space="preserve">enlist </w:t>
      </w:r>
      <w:r w:rsidR="00205844">
        <w:t xml:space="preserve">recent graduate Tom Prestby, an expert ornithologist who has conducted extensive bird surveys in lower Green Bay, as </w:t>
      </w:r>
      <w:r w:rsidR="007118A1">
        <w:t xml:space="preserve">primary field researcher for developing and implementing waterfowl surveys. UW-Green Bay student Cody Becker is an authorized drone pilot who will assist with development of the aerial waterfowl surveys. Other students who have participated in field research in the AOC will assist with the project. </w:t>
      </w:r>
      <w:r>
        <w:t>Giese will be responsible for assembling, organizing, and archiving information a</w:t>
      </w:r>
      <w:r w:rsidR="007118A1">
        <w:t xml:space="preserve">cquired during the project, while Howe and Wolf will be primarily responsible for writing </w:t>
      </w:r>
      <w:r w:rsidR="007118A1">
        <w:lastRenderedPageBreak/>
        <w:t xml:space="preserve">reports and administering the budget. </w:t>
      </w:r>
      <w:r>
        <w:t xml:space="preserve">Fringe benefits for UW-Green Bay contributors vary by employee class according to contractual rates established by the University of Wisconsin System. </w:t>
      </w:r>
    </w:p>
    <w:p w14:paraId="7D648452" w14:textId="77777777" w:rsidR="00410057" w:rsidRPr="00AF7949" w:rsidRDefault="00410057" w:rsidP="00410057">
      <w:pPr>
        <w:jc w:val="both"/>
        <w:rPr>
          <w:sz w:val="16"/>
        </w:rPr>
      </w:pPr>
    </w:p>
    <w:p w14:paraId="39255397" w14:textId="31154CF6" w:rsidR="0055250F" w:rsidRDefault="0055250F" w:rsidP="0028712A">
      <w:pPr>
        <w:pStyle w:val="NoSpacing"/>
        <w:jc w:val="both"/>
      </w:pPr>
      <w:r w:rsidRPr="00C14D53">
        <w:rPr>
          <w:i/>
          <w:u w:val="single"/>
        </w:rPr>
        <w:t>Travel</w:t>
      </w:r>
      <w:r>
        <w:t>:</w:t>
      </w:r>
      <w:r w:rsidR="00410057">
        <w:t xml:space="preserve">  </w:t>
      </w:r>
      <w:r>
        <w:t xml:space="preserve">Travel costs in the UW-Green Bay portion of the budget will cover trips to and from field sites by </w:t>
      </w:r>
      <w:r w:rsidR="007118A1">
        <w:t xml:space="preserve">field </w:t>
      </w:r>
      <w:r>
        <w:t xml:space="preserve">researchers. </w:t>
      </w:r>
    </w:p>
    <w:p w14:paraId="14353767" w14:textId="77777777" w:rsidR="00410057" w:rsidRPr="00410057" w:rsidRDefault="00410057" w:rsidP="00410057">
      <w:pPr>
        <w:pStyle w:val="NoSpacing"/>
        <w:rPr>
          <w:i/>
          <w:sz w:val="16"/>
          <w:szCs w:val="16"/>
          <w:u w:val="single"/>
        </w:rPr>
      </w:pPr>
    </w:p>
    <w:p w14:paraId="40758E08" w14:textId="589B1666" w:rsidR="0055250F" w:rsidRDefault="0055250F" w:rsidP="0028712A">
      <w:pPr>
        <w:pStyle w:val="NoSpacing"/>
        <w:jc w:val="both"/>
      </w:pPr>
      <w:r w:rsidRPr="00C14D53">
        <w:rPr>
          <w:i/>
          <w:u w:val="single"/>
        </w:rPr>
        <w:t>Supplies</w:t>
      </w:r>
      <w:r>
        <w:t>:</w:t>
      </w:r>
      <w:r w:rsidR="00410057">
        <w:t xml:space="preserve">  S</w:t>
      </w:r>
      <w:r>
        <w:t>upplies and equipment include costs of miscellaneous field supplies and computer storage devices like external disk drives.</w:t>
      </w:r>
    </w:p>
    <w:p w14:paraId="251A2718" w14:textId="77777777" w:rsidR="00410057" w:rsidRPr="00410057" w:rsidRDefault="00410057" w:rsidP="00410057">
      <w:pPr>
        <w:pStyle w:val="NoSpacing"/>
        <w:rPr>
          <w:sz w:val="16"/>
          <w:szCs w:val="16"/>
        </w:rPr>
      </w:pPr>
    </w:p>
    <w:p w14:paraId="2DF0EE17" w14:textId="31FCB3D9" w:rsidR="00181CC8" w:rsidRDefault="00410057" w:rsidP="00CD431F">
      <w:pPr>
        <w:jc w:val="both"/>
      </w:pPr>
      <w:r w:rsidRPr="00C14D53">
        <w:rPr>
          <w:i/>
          <w:u w:val="single"/>
        </w:rPr>
        <w:t>Other</w:t>
      </w:r>
      <w:r w:rsidRPr="00994F1C">
        <w:rPr>
          <w:u w:val="single"/>
        </w:rPr>
        <w:t xml:space="preserve"> </w:t>
      </w:r>
      <w:r w:rsidRPr="00C14D53">
        <w:rPr>
          <w:i/>
          <w:u w:val="single"/>
        </w:rPr>
        <w:t>Costs</w:t>
      </w:r>
      <w:r>
        <w:t xml:space="preserve">: </w:t>
      </w:r>
      <w:r w:rsidR="009C6B8D">
        <w:t xml:space="preserve"> </w:t>
      </w:r>
      <w:r>
        <w:t>Other costs include printing and copying.</w:t>
      </w:r>
    </w:p>
    <w:p w14:paraId="3B3E9199" w14:textId="77777777" w:rsidR="00410057" w:rsidRPr="00410057" w:rsidRDefault="00410057" w:rsidP="00CD431F">
      <w:pPr>
        <w:jc w:val="both"/>
        <w:rPr>
          <w:sz w:val="16"/>
          <w:szCs w:val="16"/>
        </w:rPr>
      </w:pPr>
    </w:p>
    <w:p w14:paraId="283CB027" w14:textId="0EF1F8CB" w:rsidR="00410057" w:rsidRDefault="00410057" w:rsidP="000B54E3">
      <w:pPr>
        <w:jc w:val="both"/>
      </w:pPr>
      <w:r w:rsidRPr="00C14D53">
        <w:rPr>
          <w:i/>
          <w:u w:val="single"/>
        </w:rPr>
        <w:t>Indirect</w:t>
      </w:r>
      <w:r>
        <w:rPr>
          <w:u w:val="single"/>
        </w:rPr>
        <w:t xml:space="preserve"> </w:t>
      </w:r>
      <w:r w:rsidRPr="00C14D53">
        <w:rPr>
          <w:i/>
          <w:u w:val="single"/>
        </w:rPr>
        <w:t>Costs</w:t>
      </w:r>
      <w:r>
        <w:t xml:space="preserve">: </w:t>
      </w:r>
      <w:r w:rsidR="009C6B8D">
        <w:t xml:space="preserve"> </w:t>
      </w:r>
      <w:r>
        <w:t xml:space="preserve">Indirect costs will be applied to salaries and fringes at the off-campus rate of 15%.          </w:t>
      </w:r>
    </w:p>
    <w:p w14:paraId="4DFDB894" w14:textId="77777777" w:rsidR="00441210" w:rsidRDefault="00441210" w:rsidP="00150E5C">
      <w:pPr>
        <w:rPr>
          <w:b/>
          <w:i/>
        </w:rPr>
      </w:pPr>
    </w:p>
    <w:p w14:paraId="75026648" w14:textId="0523EB12" w:rsidR="0077586C" w:rsidRPr="00410057" w:rsidRDefault="00410057" w:rsidP="00150E5C">
      <w:pPr>
        <w:rPr>
          <w:b/>
          <w:i/>
        </w:rPr>
      </w:pPr>
      <w:r w:rsidRPr="00410057">
        <w:rPr>
          <w:b/>
          <w:i/>
        </w:rPr>
        <w:t>T</w:t>
      </w:r>
      <w:r w:rsidR="0077586C" w:rsidRPr="00410057">
        <w:rPr>
          <w:b/>
          <w:i/>
        </w:rPr>
        <w:t>imeline:</w:t>
      </w:r>
    </w:p>
    <w:p w14:paraId="7BE44485" w14:textId="77777777" w:rsidR="00150E5C" w:rsidRDefault="00150E5C" w:rsidP="00CD431F">
      <w:pPr>
        <w:jc w:val="both"/>
      </w:pPr>
    </w:p>
    <w:p w14:paraId="176C016B" w14:textId="446D8F6D" w:rsidR="004A6C1E" w:rsidRPr="004A6C1E" w:rsidRDefault="0087708D" w:rsidP="00CD431F">
      <w:pPr>
        <w:jc w:val="both"/>
      </w:pPr>
      <w:r>
        <w:t xml:space="preserve">All work is </w:t>
      </w:r>
      <w:r w:rsidR="001E0D3E">
        <w:t xml:space="preserve">done </w:t>
      </w:r>
      <w:r w:rsidR="004B19F0">
        <w:t xml:space="preserve">on </w:t>
      </w:r>
      <w:r w:rsidR="001E0D3E">
        <w:t xml:space="preserve">a reimbursement basis. </w:t>
      </w:r>
      <w:r>
        <w:t xml:space="preserve">The grantee </w:t>
      </w:r>
      <w:r w:rsidR="004A6C1E">
        <w:t xml:space="preserve">will invoice </w:t>
      </w:r>
      <w:r w:rsidR="00C14D53">
        <w:t>the W</w:t>
      </w:r>
      <w:r w:rsidR="004A6C1E">
        <w:t xml:space="preserve">DNR, and </w:t>
      </w:r>
      <w:r w:rsidR="00C14D53">
        <w:t>the W</w:t>
      </w:r>
      <w:r w:rsidR="004A6C1E">
        <w:t xml:space="preserve">DNR will reimburse </w:t>
      </w:r>
      <w:r>
        <w:t>the grantee</w:t>
      </w:r>
      <w:r w:rsidR="004A6C1E">
        <w:t xml:space="preserve"> following the acceptable completion (as noted by </w:t>
      </w:r>
      <w:r w:rsidR="00C14D53">
        <w:t>W</w:t>
      </w:r>
      <w:r w:rsidR="004A6C1E">
        <w:t>DNR review of acceptance) of the tasks and deliverables outlined in the table below:</w:t>
      </w:r>
    </w:p>
    <w:p w14:paraId="4A399BE7" w14:textId="77777777" w:rsidR="004F1D96" w:rsidRPr="00526DF8" w:rsidRDefault="004F1D96" w:rsidP="004F1D96"/>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6840"/>
      </w:tblGrid>
      <w:tr w:rsidR="0087708D" w:rsidRPr="00526DF8" w14:paraId="2D02B24B" w14:textId="77777777" w:rsidTr="00441210">
        <w:trPr>
          <w:trHeight w:val="413"/>
        </w:trPr>
        <w:tc>
          <w:tcPr>
            <w:tcW w:w="2250" w:type="dxa"/>
            <w:shd w:val="clear" w:color="auto" w:fill="auto"/>
            <w:vAlign w:val="center"/>
          </w:tcPr>
          <w:p w14:paraId="1F1EBCB8" w14:textId="77777777" w:rsidR="0087708D" w:rsidRPr="00526DF8" w:rsidRDefault="0087708D" w:rsidP="00EF27C8">
            <w:pPr>
              <w:widowControl w:val="0"/>
              <w:tabs>
                <w:tab w:val="left" w:pos="0"/>
              </w:tabs>
              <w:rPr>
                <w:rFonts w:eastAsia="MS Mincho"/>
                <w:b/>
                <w:bCs/>
                <w:color w:val="000000"/>
              </w:rPr>
            </w:pPr>
            <w:r w:rsidRPr="00526DF8">
              <w:rPr>
                <w:rFonts w:eastAsia="MS Mincho"/>
                <w:b/>
                <w:bCs/>
                <w:color w:val="000000"/>
              </w:rPr>
              <w:t>Timeframe</w:t>
            </w:r>
          </w:p>
        </w:tc>
        <w:tc>
          <w:tcPr>
            <w:tcW w:w="6840" w:type="dxa"/>
            <w:shd w:val="clear" w:color="auto" w:fill="auto"/>
            <w:vAlign w:val="center"/>
          </w:tcPr>
          <w:p w14:paraId="793AA37A" w14:textId="45B80DCD" w:rsidR="0087708D" w:rsidRPr="00526DF8" w:rsidRDefault="0087708D" w:rsidP="001647B3">
            <w:pPr>
              <w:widowControl w:val="0"/>
              <w:tabs>
                <w:tab w:val="left" w:pos="0"/>
              </w:tabs>
              <w:rPr>
                <w:rFonts w:eastAsia="MS Mincho"/>
                <w:b/>
                <w:bCs/>
                <w:color w:val="000000"/>
              </w:rPr>
            </w:pPr>
            <w:r>
              <w:rPr>
                <w:rFonts w:eastAsia="MS Mincho"/>
                <w:b/>
                <w:bCs/>
                <w:color w:val="000000"/>
              </w:rPr>
              <w:t>Deliverables Schedule</w:t>
            </w:r>
            <w:r w:rsidR="00ED5334">
              <w:rPr>
                <w:rFonts w:eastAsia="MS Mincho"/>
                <w:b/>
                <w:bCs/>
                <w:color w:val="000000"/>
              </w:rPr>
              <w:t>d</w:t>
            </w:r>
            <w:r w:rsidR="002E3578">
              <w:rPr>
                <w:rFonts w:eastAsia="MS Mincho"/>
                <w:b/>
                <w:bCs/>
                <w:color w:val="000000"/>
              </w:rPr>
              <w:t xml:space="preserve"> </w:t>
            </w:r>
            <w:r w:rsidR="00ED5334">
              <w:rPr>
                <w:rFonts w:eastAsia="MS Mincho"/>
                <w:b/>
                <w:bCs/>
                <w:color w:val="000000"/>
              </w:rPr>
              <w:t xml:space="preserve">to be </w:t>
            </w:r>
            <w:r>
              <w:rPr>
                <w:rFonts w:eastAsia="MS Mincho"/>
                <w:b/>
                <w:bCs/>
                <w:color w:val="000000"/>
              </w:rPr>
              <w:t>Complet</w:t>
            </w:r>
            <w:r w:rsidR="00ED5334">
              <w:rPr>
                <w:rFonts w:eastAsia="MS Mincho"/>
                <w:b/>
                <w:bCs/>
                <w:color w:val="000000"/>
              </w:rPr>
              <w:t>ed</w:t>
            </w:r>
          </w:p>
        </w:tc>
      </w:tr>
      <w:tr w:rsidR="0087708D" w:rsidRPr="00526DF8" w14:paraId="0C6F4B6B" w14:textId="77777777" w:rsidTr="00266902">
        <w:trPr>
          <w:trHeight w:val="1880"/>
        </w:trPr>
        <w:tc>
          <w:tcPr>
            <w:tcW w:w="2250" w:type="dxa"/>
            <w:shd w:val="clear" w:color="auto" w:fill="auto"/>
          </w:tcPr>
          <w:p w14:paraId="53BBB955" w14:textId="206845A2" w:rsidR="0087708D" w:rsidRPr="00526DF8" w:rsidRDefault="009660D1" w:rsidP="009660D1">
            <w:pPr>
              <w:widowControl w:val="0"/>
              <w:tabs>
                <w:tab w:val="left" w:pos="0"/>
              </w:tabs>
              <w:rPr>
                <w:rFonts w:eastAsia="MS Mincho"/>
                <w:bCs/>
                <w:color w:val="000000"/>
              </w:rPr>
            </w:pPr>
            <w:r>
              <w:t xml:space="preserve">October  7 </w:t>
            </w:r>
            <w:r w:rsidR="00393854">
              <w:t>-</w:t>
            </w:r>
            <w:r w:rsidR="00393854" w:rsidRPr="0095006C">
              <w:t xml:space="preserve"> </w:t>
            </w:r>
            <w:r w:rsidR="00F43440">
              <w:t xml:space="preserve"> </w:t>
            </w:r>
            <w:r w:rsidR="0013249D">
              <w:t>December 31</w:t>
            </w:r>
            <w:r w:rsidR="00F43440">
              <w:t>, 201</w:t>
            </w:r>
            <w:r w:rsidR="00F21DA0">
              <w:t>6</w:t>
            </w:r>
          </w:p>
        </w:tc>
        <w:tc>
          <w:tcPr>
            <w:tcW w:w="6840" w:type="dxa"/>
            <w:shd w:val="clear" w:color="auto" w:fill="auto"/>
          </w:tcPr>
          <w:p w14:paraId="7E5F61AC" w14:textId="5E28801D" w:rsidR="00150E5C" w:rsidRDefault="0087708D" w:rsidP="004B4E98">
            <w:pPr>
              <w:pStyle w:val="ListParagraph"/>
              <w:widowControl w:val="0"/>
              <w:numPr>
                <w:ilvl w:val="0"/>
                <w:numId w:val="11"/>
              </w:numPr>
              <w:tabs>
                <w:tab w:val="left" w:pos="49"/>
              </w:tabs>
              <w:ind w:left="432" w:hanging="383"/>
              <w:contextualSpacing/>
              <w:jc w:val="both"/>
            </w:pPr>
            <w:r w:rsidRPr="00526DF8">
              <w:t>Quarte</w:t>
            </w:r>
            <w:r w:rsidR="00925F9D">
              <w:t xml:space="preserve">rly update and invoice (Q1) due </w:t>
            </w:r>
            <w:r w:rsidR="0013249D">
              <w:t xml:space="preserve">January </w:t>
            </w:r>
            <w:r w:rsidR="00266902">
              <w:t>9</w:t>
            </w:r>
            <w:r w:rsidR="00BC72CA">
              <w:t>, 201</w:t>
            </w:r>
            <w:r w:rsidR="00F21DA0">
              <w:t>7</w:t>
            </w:r>
          </w:p>
          <w:p w14:paraId="4B33B347" w14:textId="77777777" w:rsidR="00F21DA0" w:rsidRDefault="00F21DA0" w:rsidP="004B4E98">
            <w:pPr>
              <w:pStyle w:val="ListParagraph"/>
              <w:widowControl w:val="0"/>
              <w:numPr>
                <w:ilvl w:val="0"/>
                <w:numId w:val="11"/>
              </w:numPr>
              <w:tabs>
                <w:tab w:val="left" w:pos="49"/>
              </w:tabs>
              <w:ind w:left="432" w:hanging="383"/>
              <w:contextualSpacing/>
              <w:jc w:val="both"/>
            </w:pPr>
            <w:r>
              <w:t xml:space="preserve">Approved </w:t>
            </w:r>
            <w:r w:rsidR="002F479A">
              <w:t>QAPP</w:t>
            </w:r>
          </w:p>
          <w:p w14:paraId="251B312E" w14:textId="77777777" w:rsidR="00F21DA0" w:rsidRDefault="00F21DA0" w:rsidP="004B4E98">
            <w:pPr>
              <w:pStyle w:val="ListParagraph"/>
              <w:widowControl w:val="0"/>
              <w:numPr>
                <w:ilvl w:val="0"/>
                <w:numId w:val="11"/>
              </w:numPr>
              <w:tabs>
                <w:tab w:val="left" w:pos="49"/>
              </w:tabs>
              <w:ind w:left="432" w:hanging="383"/>
              <w:contextualSpacing/>
              <w:jc w:val="both"/>
            </w:pPr>
            <w:r>
              <w:t>Draft protocol for waterfowl surveys</w:t>
            </w:r>
          </w:p>
          <w:p w14:paraId="3F5CEB44" w14:textId="18A1E214" w:rsidR="0087708D" w:rsidRDefault="00F21DA0" w:rsidP="004B4E98">
            <w:pPr>
              <w:pStyle w:val="ListParagraph"/>
              <w:widowControl w:val="0"/>
              <w:numPr>
                <w:ilvl w:val="0"/>
                <w:numId w:val="11"/>
              </w:numPr>
              <w:tabs>
                <w:tab w:val="left" w:pos="49"/>
              </w:tabs>
              <w:ind w:left="432" w:hanging="383"/>
              <w:contextualSpacing/>
              <w:jc w:val="both"/>
            </w:pPr>
            <w:r>
              <w:t xml:space="preserve">Field test of waterfowl survey protocol during fall migration </w:t>
            </w:r>
            <w:r w:rsidR="002F479A">
              <w:t xml:space="preserve"> </w:t>
            </w:r>
          </w:p>
          <w:p w14:paraId="156AE253" w14:textId="7C8E3BC0" w:rsidR="00F21DA0" w:rsidRDefault="00F21DA0" w:rsidP="004B4E98">
            <w:pPr>
              <w:pStyle w:val="ListParagraph"/>
              <w:widowControl w:val="0"/>
              <w:numPr>
                <w:ilvl w:val="0"/>
                <w:numId w:val="11"/>
              </w:numPr>
              <w:tabs>
                <w:tab w:val="left" w:pos="49"/>
              </w:tabs>
              <w:ind w:left="432" w:hanging="383"/>
              <w:contextualSpacing/>
              <w:jc w:val="both"/>
            </w:pPr>
            <w:r>
              <w:t>Digital (GIS) template for mapping plant diversity remnants</w:t>
            </w:r>
          </w:p>
          <w:p w14:paraId="216C7B40" w14:textId="3576AE27" w:rsidR="00F21DA0" w:rsidRPr="00150E5C" w:rsidRDefault="000D0808" w:rsidP="008D43F7">
            <w:pPr>
              <w:pStyle w:val="ListParagraph"/>
              <w:widowControl w:val="0"/>
              <w:numPr>
                <w:ilvl w:val="0"/>
                <w:numId w:val="11"/>
              </w:numPr>
              <w:tabs>
                <w:tab w:val="left" w:pos="49"/>
              </w:tabs>
              <w:ind w:left="432" w:hanging="383"/>
              <w:contextualSpacing/>
              <w:jc w:val="both"/>
            </w:pPr>
            <w:r>
              <w:t>Summary of r</w:t>
            </w:r>
            <w:r w:rsidR="00F21DA0">
              <w:t xml:space="preserve">esults from </w:t>
            </w:r>
            <w:r w:rsidR="008D43F7">
              <w:t xml:space="preserve">previous and new </w:t>
            </w:r>
            <w:r w:rsidR="00F21DA0">
              <w:t>plant surveys</w:t>
            </w:r>
          </w:p>
        </w:tc>
      </w:tr>
      <w:tr w:rsidR="00F43440" w:rsidRPr="00526DF8" w14:paraId="74CC48AE" w14:textId="77777777" w:rsidTr="00F43440">
        <w:tc>
          <w:tcPr>
            <w:tcW w:w="2250" w:type="dxa"/>
            <w:tcBorders>
              <w:bottom w:val="single" w:sz="4" w:space="0" w:color="auto"/>
            </w:tcBorders>
            <w:shd w:val="clear" w:color="auto" w:fill="auto"/>
          </w:tcPr>
          <w:p w14:paraId="4B4230F0" w14:textId="2FC51F9A" w:rsidR="00F43440" w:rsidRPr="00526DF8" w:rsidRDefault="00213D94" w:rsidP="00F21DA0">
            <w:pPr>
              <w:widowControl w:val="0"/>
              <w:tabs>
                <w:tab w:val="left" w:pos="0"/>
              </w:tabs>
              <w:rPr>
                <w:rFonts w:eastAsia="MS Mincho"/>
                <w:bCs/>
                <w:color w:val="000000"/>
              </w:rPr>
            </w:pPr>
            <w:r>
              <w:t>January 1, 201</w:t>
            </w:r>
            <w:r w:rsidR="00F21DA0">
              <w:t>7</w:t>
            </w:r>
            <w:r w:rsidR="00F43440" w:rsidRPr="0095006C">
              <w:t xml:space="preserve"> </w:t>
            </w:r>
            <w:r w:rsidR="00EF27C8">
              <w:t>-</w:t>
            </w:r>
            <w:r w:rsidR="00F43440" w:rsidRPr="0095006C">
              <w:t xml:space="preserve"> </w:t>
            </w:r>
            <w:r>
              <w:t>March 31</w:t>
            </w:r>
            <w:r w:rsidR="00F43440">
              <w:t>, 201</w:t>
            </w:r>
            <w:r w:rsidR="00F21DA0">
              <w:t>7</w:t>
            </w:r>
          </w:p>
        </w:tc>
        <w:tc>
          <w:tcPr>
            <w:tcW w:w="6840" w:type="dxa"/>
            <w:tcBorders>
              <w:bottom w:val="single" w:sz="4" w:space="0" w:color="auto"/>
            </w:tcBorders>
            <w:shd w:val="clear" w:color="auto" w:fill="auto"/>
          </w:tcPr>
          <w:p w14:paraId="455C44EC" w14:textId="1136B306" w:rsidR="00F43440" w:rsidRPr="00526DF8" w:rsidRDefault="00F43440" w:rsidP="001647B3">
            <w:pPr>
              <w:pStyle w:val="ListParagraph"/>
              <w:widowControl w:val="0"/>
              <w:numPr>
                <w:ilvl w:val="0"/>
                <w:numId w:val="10"/>
              </w:numPr>
              <w:tabs>
                <w:tab w:val="left" w:pos="0"/>
              </w:tabs>
              <w:ind w:left="387"/>
              <w:contextualSpacing/>
              <w:jc w:val="both"/>
            </w:pPr>
            <w:r w:rsidRPr="00526DF8">
              <w:rPr>
                <w:bCs/>
                <w:color w:val="000000"/>
              </w:rPr>
              <w:t xml:space="preserve">Quarterly update </w:t>
            </w:r>
            <w:r w:rsidRPr="00526DF8">
              <w:t xml:space="preserve">and invoice </w:t>
            </w:r>
            <w:r w:rsidRPr="00526DF8">
              <w:rPr>
                <w:bCs/>
                <w:color w:val="000000"/>
              </w:rPr>
              <w:t xml:space="preserve">(Q2) due </w:t>
            </w:r>
            <w:r w:rsidR="00213D94" w:rsidRPr="005E5CED">
              <w:rPr>
                <w:bCs/>
                <w:color w:val="000000"/>
              </w:rPr>
              <w:t>April</w:t>
            </w:r>
            <w:r w:rsidR="00925F9D" w:rsidRPr="005E5CED">
              <w:rPr>
                <w:bCs/>
                <w:color w:val="000000"/>
              </w:rPr>
              <w:t xml:space="preserve"> </w:t>
            </w:r>
            <w:r w:rsidR="00266902">
              <w:rPr>
                <w:bCs/>
                <w:color w:val="000000"/>
              </w:rPr>
              <w:t>10</w:t>
            </w:r>
            <w:r w:rsidR="00925F9D" w:rsidRPr="005E5CED">
              <w:rPr>
                <w:bCs/>
                <w:color w:val="000000"/>
              </w:rPr>
              <w:t>, 201</w:t>
            </w:r>
            <w:r w:rsidR="00F21DA0">
              <w:rPr>
                <w:bCs/>
                <w:color w:val="000000"/>
              </w:rPr>
              <w:t>7</w:t>
            </w:r>
          </w:p>
          <w:p w14:paraId="26D961B8" w14:textId="77777777" w:rsidR="00F21DA0" w:rsidRDefault="00F21DA0" w:rsidP="009660D1">
            <w:pPr>
              <w:pStyle w:val="ListParagraph"/>
              <w:widowControl w:val="0"/>
              <w:numPr>
                <w:ilvl w:val="0"/>
                <w:numId w:val="10"/>
              </w:numPr>
              <w:tabs>
                <w:tab w:val="left" w:pos="0"/>
              </w:tabs>
              <w:ind w:left="387"/>
              <w:contextualSpacing/>
              <w:jc w:val="both"/>
            </w:pPr>
            <w:r>
              <w:t>Analysis and revision of fall waterfowl surveys</w:t>
            </w:r>
          </w:p>
          <w:p w14:paraId="7FCCF47C" w14:textId="29A6AD15" w:rsidR="00F43440" w:rsidRPr="00150E5C" w:rsidRDefault="00F21DA0">
            <w:pPr>
              <w:pStyle w:val="ListParagraph"/>
              <w:widowControl w:val="0"/>
              <w:numPr>
                <w:ilvl w:val="0"/>
                <w:numId w:val="10"/>
              </w:numPr>
              <w:tabs>
                <w:tab w:val="left" w:pos="0"/>
              </w:tabs>
              <w:ind w:left="387"/>
              <w:contextualSpacing/>
              <w:jc w:val="both"/>
            </w:pPr>
            <w:r>
              <w:t>Winter waterfowl surveys (if ice absent)</w:t>
            </w:r>
            <w:r w:rsidR="002F479A" w:rsidRPr="00150E5C">
              <w:t xml:space="preserve"> </w:t>
            </w:r>
          </w:p>
        </w:tc>
      </w:tr>
      <w:tr w:rsidR="00F43440" w:rsidRPr="00526DF8" w14:paraId="3517D40E" w14:textId="77777777" w:rsidTr="00F43440">
        <w:tc>
          <w:tcPr>
            <w:tcW w:w="2250" w:type="dxa"/>
            <w:tcBorders>
              <w:bottom w:val="single" w:sz="4" w:space="0" w:color="auto"/>
              <w:right w:val="single" w:sz="4" w:space="0" w:color="auto"/>
            </w:tcBorders>
            <w:shd w:val="clear" w:color="auto" w:fill="auto"/>
          </w:tcPr>
          <w:p w14:paraId="5C0D435B" w14:textId="09445D89" w:rsidR="00F43440" w:rsidRDefault="00213D94" w:rsidP="00F21DA0">
            <w:pPr>
              <w:widowControl w:val="0"/>
              <w:tabs>
                <w:tab w:val="left" w:pos="0"/>
              </w:tabs>
              <w:rPr>
                <w:rFonts w:eastAsia="MS Mincho"/>
                <w:bCs/>
                <w:color w:val="000000"/>
              </w:rPr>
            </w:pPr>
            <w:r>
              <w:rPr>
                <w:rFonts w:eastAsia="MS Mincho"/>
                <w:bCs/>
                <w:color w:val="000000"/>
              </w:rPr>
              <w:t>April</w:t>
            </w:r>
            <w:r w:rsidR="00EF27C8">
              <w:rPr>
                <w:rFonts w:eastAsia="MS Mincho"/>
                <w:bCs/>
                <w:color w:val="000000"/>
              </w:rPr>
              <w:t xml:space="preserve"> 1, 201</w:t>
            </w:r>
            <w:r w:rsidR="00F21DA0">
              <w:rPr>
                <w:rFonts w:eastAsia="MS Mincho"/>
                <w:bCs/>
                <w:color w:val="000000"/>
              </w:rPr>
              <w:t>7</w:t>
            </w:r>
            <w:r w:rsidR="00EF27C8">
              <w:rPr>
                <w:rFonts w:eastAsia="MS Mincho"/>
                <w:bCs/>
                <w:color w:val="000000"/>
              </w:rPr>
              <w:t xml:space="preserve"> -</w:t>
            </w:r>
            <w:r w:rsidR="00F43440">
              <w:rPr>
                <w:rFonts w:eastAsia="MS Mincho"/>
                <w:bCs/>
                <w:color w:val="000000"/>
              </w:rPr>
              <w:t xml:space="preserve"> </w:t>
            </w:r>
            <w:r>
              <w:rPr>
                <w:rFonts w:eastAsia="MS Mincho"/>
                <w:bCs/>
                <w:color w:val="000000"/>
              </w:rPr>
              <w:t>June 30</w:t>
            </w:r>
            <w:r w:rsidR="00F43440">
              <w:rPr>
                <w:rFonts w:eastAsia="MS Mincho"/>
                <w:bCs/>
                <w:color w:val="000000"/>
              </w:rPr>
              <w:t>, 201</w:t>
            </w:r>
            <w:r w:rsidR="00F21DA0">
              <w:rPr>
                <w:rFonts w:eastAsia="MS Mincho"/>
                <w:bCs/>
                <w:color w:val="000000"/>
              </w:rPr>
              <w:t>7</w:t>
            </w: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03DDD58D" w14:textId="0FA5D845" w:rsidR="00F43440" w:rsidRDefault="00F43440" w:rsidP="001647B3">
            <w:pPr>
              <w:pStyle w:val="ListParagraph"/>
              <w:widowControl w:val="0"/>
              <w:numPr>
                <w:ilvl w:val="0"/>
                <w:numId w:val="10"/>
              </w:numPr>
              <w:tabs>
                <w:tab w:val="left" w:pos="0"/>
              </w:tabs>
              <w:ind w:left="387"/>
              <w:contextualSpacing/>
              <w:jc w:val="both"/>
              <w:rPr>
                <w:bCs/>
                <w:color w:val="000000"/>
              </w:rPr>
            </w:pPr>
            <w:r>
              <w:rPr>
                <w:bCs/>
                <w:color w:val="000000"/>
              </w:rPr>
              <w:t xml:space="preserve">Quarterly update and invoice (Q3) due </w:t>
            </w:r>
            <w:r w:rsidR="00266902">
              <w:rPr>
                <w:bCs/>
                <w:color w:val="000000"/>
              </w:rPr>
              <w:t>July 10</w:t>
            </w:r>
            <w:r w:rsidR="00F21DA0">
              <w:rPr>
                <w:bCs/>
                <w:color w:val="000000"/>
              </w:rPr>
              <w:t>, 2017</w:t>
            </w:r>
          </w:p>
          <w:p w14:paraId="5F7AB44A" w14:textId="3DACEE81" w:rsidR="00F43440" w:rsidRDefault="00266902" w:rsidP="009660D1">
            <w:pPr>
              <w:pStyle w:val="ListParagraph"/>
              <w:widowControl w:val="0"/>
              <w:numPr>
                <w:ilvl w:val="0"/>
                <w:numId w:val="10"/>
              </w:numPr>
              <w:tabs>
                <w:tab w:val="left" w:pos="0"/>
              </w:tabs>
              <w:ind w:left="387"/>
              <w:contextualSpacing/>
              <w:jc w:val="both"/>
              <w:rPr>
                <w:bCs/>
                <w:color w:val="000000"/>
              </w:rPr>
            </w:pPr>
            <w:r>
              <w:rPr>
                <w:bCs/>
                <w:color w:val="000000"/>
              </w:rPr>
              <w:t>Spring waterfowl surveys</w:t>
            </w:r>
          </w:p>
          <w:p w14:paraId="70562D61" w14:textId="6CB53222" w:rsidR="00D93672" w:rsidRPr="00526DF8" w:rsidRDefault="00D93672">
            <w:pPr>
              <w:pStyle w:val="ListParagraph"/>
              <w:widowControl w:val="0"/>
              <w:numPr>
                <w:ilvl w:val="0"/>
                <w:numId w:val="10"/>
              </w:numPr>
              <w:tabs>
                <w:tab w:val="left" w:pos="0"/>
              </w:tabs>
              <w:ind w:left="387"/>
              <w:contextualSpacing/>
              <w:jc w:val="both"/>
              <w:rPr>
                <w:bCs/>
                <w:color w:val="000000"/>
              </w:rPr>
            </w:pPr>
            <w:r>
              <w:rPr>
                <w:bCs/>
                <w:color w:val="000000"/>
              </w:rPr>
              <w:t xml:space="preserve">Preliminary maps of </w:t>
            </w:r>
            <w:r w:rsidR="00266902">
              <w:rPr>
                <w:bCs/>
                <w:color w:val="000000"/>
              </w:rPr>
              <w:t>critical plant diversity remnants in AOC</w:t>
            </w:r>
          </w:p>
        </w:tc>
      </w:tr>
      <w:tr w:rsidR="00F43440" w:rsidRPr="00526DF8" w14:paraId="3E3A6D4F" w14:textId="77777777" w:rsidTr="00213D94">
        <w:tc>
          <w:tcPr>
            <w:tcW w:w="2250" w:type="dxa"/>
            <w:tcBorders>
              <w:bottom w:val="single" w:sz="4" w:space="0" w:color="auto"/>
            </w:tcBorders>
            <w:shd w:val="clear" w:color="auto" w:fill="auto"/>
          </w:tcPr>
          <w:p w14:paraId="6E2EF3A0" w14:textId="45E5B8FC" w:rsidR="00F43440" w:rsidRPr="00526DF8" w:rsidRDefault="00213D94" w:rsidP="00266902">
            <w:pPr>
              <w:widowControl w:val="0"/>
              <w:tabs>
                <w:tab w:val="left" w:pos="0"/>
              </w:tabs>
              <w:rPr>
                <w:rFonts w:eastAsia="MS Mincho"/>
                <w:bCs/>
                <w:color w:val="000000"/>
              </w:rPr>
            </w:pPr>
            <w:r>
              <w:t>July</w:t>
            </w:r>
            <w:r w:rsidR="00EF27C8">
              <w:t xml:space="preserve"> 1, 201</w:t>
            </w:r>
            <w:r w:rsidR="00266902">
              <w:t>7</w:t>
            </w:r>
            <w:r w:rsidR="00EF27C8">
              <w:t xml:space="preserve"> -</w:t>
            </w:r>
            <w:r w:rsidR="00F43440">
              <w:t xml:space="preserve"> </w:t>
            </w:r>
            <w:r>
              <w:t>September</w:t>
            </w:r>
            <w:r w:rsidR="00F43440">
              <w:t xml:space="preserve"> 3</w:t>
            </w:r>
            <w:r w:rsidR="00266902">
              <w:t>0</w:t>
            </w:r>
            <w:r w:rsidR="00F43440">
              <w:t>, 201</w:t>
            </w:r>
            <w:r w:rsidR="00266902">
              <w:t>7</w:t>
            </w:r>
          </w:p>
        </w:tc>
        <w:tc>
          <w:tcPr>
            <w:tcW w:w="6840" w:type="dxa"/>
            <w:tcBorders>
              <w:bottom w:val="single" w:sz="4" w:space="0" w:color="auto"/>
            </w:tcBorders>
            <w:shd w:val="clear" w:color="auto" w:fill="auto"/>
          </w:tcPr>
          <w:p w14:paraId="4257A125" w14:textId="505DC97C" w:rsidR="00266902" w:rsidRPr="00266902" w:rsidRDefault="00266902" w:rsidP="001647B3">
            <w:pPr>
              <w:pStyle w:val="ListParagraph"/>
              <w:widowControl w:val="0"/>
              <w:numPr>
                <w:ilvl w:val="0"/>
                <w:numId w:val="10"/>
              </w:numPr>
              <w:tabs>
                <w:tab w:val="left" w:pos="0"/>
              </w:tabs>
              <w:ind w:left="387"/>
              <w:contextualSpacing/>
              <w:jc w:val="both"/>
            </w:pPr>
            <w:r>
              <w:t>Quarterly update and invoice (Q4) due April 10, 2017</w:t>
            </w:r>
          </w:p>
          <w:p w14:paraId="1A453976" w14:textId="0ECF50B3" w:rsidR="00F43440" w:rsidRPr="00526DF8" w:rsidRDefault="00266902" w:rsidP="009660D1">
            <w:pPr>
              <w:pStyle w:val="ListParagraph"/>
              <w:widowControl w:val="0"/>
              <w:numPr>
                <w:ilvl w:val="0"/>
                <w:numId w:val="10"/>
              </w:numPr>
              <w:tabs>
                <w:tab w:val="left" w:pos="0"/>
              </w:tabs>
              <w:ind w:left="387"/>
              <w:contextualSpacing/>
              <w:jc w:val="both"/>
            </w:pPr>
            <w:r>
              <w:rPr>
                <w:bCs/>
                <w:color w:val="000000"/>
              </w:rPr>
              <w:t>Follow-up surveys of plant diversity remnants</w:t>
            </w:r>
          </w:p>
          <w:p w14:paraId="6CBA32C4" w14:textId="0AAAA852" w:rsidR="00F43440" w:rsidRPr="002B1C6E" w:rsidRDefault="00266902">
            <w:pPr>
              <w:pStyle w:val="ListParagraph"/>
              <w:widowControl w:val="0"/>
              <w:numPr>
                <w:ilvl w:val="0"/>
                <w:numId w:val="10"/>
              </w:numPr>
              <w:tabs>
                <w:tab w:val="left" w:pos="0"/>
              </w:tabs>
              <w:ind w:left="387"/>
              <w:contextualSpacing/>
              <w:jc w:val="both"/>
              <w:rPr>
                <w:b/>
              </w:rPr>
            </w:pPr>
            <w:r>
              <w:t>Summary of waterfowl surveys and description of recommended assessment protocol</w:t>
            </w:r>
          </w:p>
        </w:tc>
      </w:tr>
      <w:tr w:rsidR="00F43440" w:rsidRPr="00526DF8" w14:paraId="66CBD94E" w14:textId="77777777" w:rsidTr="002E3578">
        <w:trPr>
          <w:trHeight w:val="998"/>
        </w:trPr>
        <w:tc>
          <w:tcPr>
            <w:tcW w:w="2250" w:type="dxa"/>
            <w:tcBorders>
              <w:bottom w:val="double" w:sz="4" w:space="0" w:color="auto"/>
              <w:right w:val="single" w:sz="4" w:space="0" w:color="auto"/>
            </w:tcBorders>
            <w:shd w:val="clear" w:color="auto" w:fill="auto"/>
          </w:tcPr>
          <w:p w14:paraId="62803CF3" w14:textId="0549D052" w:rsidR="00F43440" w:rsidRDefault="00213D94" w:rsidP="000D0808">
            <w:pPr>
              <w:widowControl w:val="0"/>
              <w:tabs>
                <w:tab w:val="left" w:pos="0"/>
              </w:tabs>
              <w:rPr>
                <w:rFonts w:eastAsia="MS Mincho"/>
                <w:bCs/>
                <w:color w:val="000000"/>
              </w:rPr>
            </w:pPr>
            <w:r>
              <w:rPr>
                <w:rFonts w:eastAsia="MS Mincho"/>
                <w:bCs/>
                <w:color w:val="000000"/>
              </w:rPr>
              <w:t>October</w:t>
            </w:r>
            <w:r w:rsidR="00EF27C8">
              <w:rPr>
                <w:rFonts w:eastAsia="MS Mincho"/>
                <w:bCs/>
                <w:color w:val="000000"/>
              </w:rPr>
              <w:t xml:space="preserve"> 1, 201</w:t>
            </w:r>
            <w:r w:rsidR="000D0808">
              <w:rPr>
                <w:rFonts w:eastAsia="MS Mincho"/>
                <w:bCs/>
                <w:color w:val="000000"/>
              </w:rPr>
              <w:t>7</w:t>
            </w:r>
            <w:r w:rsidR="00EF27C8">
              <w:rPr>
                <w:rFonts w:eastAsia="MS Mincho"/>
                <w:bCs/>
                <w:color w:val="000000"/>
              </w:rPr>
              <w:t xml:space="preserve"> -</w:t>
            </w:r>
            <w:r w:rsidR="00F43440">
              <w:rPr>
                <w:rFonts w:eastAsia="MS Mincho"/>
                <w:bCs/>
                <w:color w:val="000000"/>
              </w:rPr>
              <w:t xml:space="preserve"> </w:t>
            </w:r>
            <w:r>
              <w:rPr>
                <w:rFonts w:eastAsia="MS Mincho"/>
                <w:bCs/>
                <w:color w:val="000000"/>
              </w:rPr>
              <w:t>December 31</w:t>
            </w:r>
            <w:r w:rsidR="00F43440">
              <w:rPr>
                <w:rFonts w:eastAsia="MS Mincho"/>
                <w:bCs/>
                <w:color w:val="000000"/>
              </w:rPr>
              <w:t>, 201</w:t>
            </w:r>
            <w:r w:rsidR="000D0808">
              <w:rPr>
                <w:rFonts w:eastAsia="MS Mincho"/>
                <w:bCs/>
                <w:color w:val="000000"/>
              </w:rPr>
              <w:t>7</w:t>
            </w:r>
          </w:p>
        </w:tc>
        <w:tc>
          <w:tcPr>
            <w:tcW w:w="6840" w:type="dxa"/>
            <w:tcBorders>
              <w:top w:val="single" w:sz="4" w:space="0" w:color="auto"/>
              <w:left w:val="single" w:sz="4" w:space="0" w:color="auto"/>
              <w:bottom w:val="double" w:sz="4" w:space="0" w:color="auto"/>
              <w:right w:val="single" w:sz="4" w:space="0" w:color="auto"/>
            </w:tcBorders>
            <w:shd w:val="clear" w:color="auto" w:fill="auto"/>
          </w:tcPr>
          <w:p w14:paraId="6CAF1A87" w14:textId="1D6A198B" w:rsidR="00F43440" w:rsidRDefault="00F43440" w:rsidP="001647B3">
            <w:pPr>
              <w:pStyle w:val="ListParagraph"/>
              <w:widowControl w:val="0"/>
              <w:numPr>
                <w:ilvl w:val="0"/>
                <w:numId w:val="10"/>
              </w:numPr>
              <w:tabs>
                <w:tab w:val="left" w:pos="0"/>
              </w:tabs>
              <w:ind w:left="387"/>
              <w:contextualSpacing/>
              <w:jc w:val="both"/>
              <w:rPr>
                <w:bCs/>
                <w:color w:val="000000"/>
              </w:rPr>
            </w:pPr>
            <w:r>
              <w:rPr>
                <w:bCs/>
                <w:color w:val="000000"/>
              </w:rPr>
              <w:t>Quarterly update and invoice (Q</w:t>
            </w:r>
            <w:r w:rsidR="005E5CED">
              <w:rPr>
                <w:bCs/>
                <w:color w:val="000000"/>
              </w:rPr>
              <w:t>5</w:t>
            </w:r>
            <w:r>
              <w:rPr>
                <w:bCs/>
                <w:color w:val="000000"/>
              </w:rPr>
              <w:t xml:space="preserve">) due </w:t>
            </w:r>
            <w:r w:rsidR="005E5CED">
              <w:rPr>
                <w:bCs/>
                <w:color w:val="000000"/>
              </w:rPr>
              <w:t>January</w:t>
            </w:r>
            <w:r w:rsidR="00BC72CA">
              <w:rPr>
                <w:bCs/>
                <w:color w:val="000000"/>
              </w:rPr>
              <w:t xml:space="preserve"> </w:t>
            </w:r>
            <w:r w:rsidR="00266902">
              <w:rPr>
                <w:bCs/>
                <w:color w:val="000000"/>
              </w:rPr>
              <w:t>8</w:t>
            </w:r>
            <w:r w:rsidR="00BC72CA">
              <w:rPr>
                <w:bCs/>
                <w:color w:val="000000"/>
              </w:rPr>
              <w:t>, 201</w:t>
            </w:r>
            <w:r w:rsidR="00266902">
              <w:rPr>
                <w:bCs/>
                <w:color w:val="000000"/>
              </w:rPr>
              <w:t>8</w:t>
            </w:r>
          </w:p>
          <w:p w14:paraId="11AC8859" w14:textId="7778114A" w:rsidR="00D93672" w:rsidRDefault="00266902" w:rsidP="009660D1">
            <w:pPr>
              <w:pStyle w:val="ListParagraph"/>
              <w:widowControl w:val="0"/>
              <w:numPr>
                <w:ilvl w:val="0"/>
                <w:numId w:val="10"/>
              </w:numPr>
              <w:tabs>
                <w:tab w:val="left" w:pos="0"/>
              </w:tabs>
              <w:ind w:left="387"/>
              <w:contextualSpacing/>
              <w:jc w:val="both"/>
              <w:rPr>
                <w:bCs/>
                <w:color w:val="000000"/>
              </w:rPr>
            </w:pPr>
            <w:r>
              <w:rPr>
                <w:bCs/>
                <w:color w:val="000000"/>
              </w:rPr>
              <w:t>Final report and recommended long term assessment protocols</w:t>
            </w:r>
          </w:p>
          <w:p w14:paraId="1499AE99" w14:textId="5D0CDBB9" w:rsidR="004B19F0" w:rsidRPr="00150E5C" w:rsidRDefault="00266902">
            <w:pPr>
              <w:pStyle w:val="ListParagraph"/>
              <w:widowControl w:val="0"/>
              <w:numPr>
                <w:ilvl w:val="0"/>
                <w:numId w:val="10"/>
              </w:numPr>
              <w:tabs>
                <w:tab w:val="left" w:pos="0"/>
              </w:tabs>
              <w:ind w:left="387"/>
              <w:contextualSpacing/>
              <w:jc w:val="both"/>
              <w:rPr>
                <w:bCs/>
                <w:color w:val="000000"/>
              </w:rPr>
            </w:pPr>
            <w:r>
              <w:t>GIS map of critical plant diversity remnants in AOC</w:t>
            </w:r>
          </w:p>
        </w:tc>
      </w:tr>
    </w:tbl>
    <w:p w14:paraId="057736F9" w14:textId="77777777" w:rsidR="005C7333" w:rsidRDefault="005C7333" w:rsidP="0087689F">
      <w:pPr>
        <w:spacing w:line="360" w:lineRule="auto"/>
        <w:rPr>
          <w:b/>
          <w:i/>
        </w:rPr>
      </w:pPr>
    </w:p>
    <w:p w14:paraId="50DEEE77" w14:textId="2F44558E" w:rsidR="00D16E47" w:rsidRPr="0087689F" w:rsidRDefault="009A74C4" w:rsidP="0087689F">
      <w:pPr>
        <w:spacing w:line="360" w:lineRule="auto"/>
        <w:rPr>
          <w:b/>
        </w:rPr>
      </w:pPr>
      <w:r w:rsidRPr="0087689F">
        <w:rPr>
          <w:b/>
          <w:i/>
        </w:rPr>
        <w:lastRenderedPageBreak/>
        <w:t>Acknowledgement of Grant Funding</w:t>
      </w:r>
      <w:r w:rsidR="0087689F">
        <w:rPr>
          <w:b/>
        </w:rPr>
        <w:t>:</w:t>
      </w:r>
    </w:p>
    <w:p w14:paraId="183E3094" w14:textId="3639CCF3" w:rsidR="00874B26" w:rsidRDefault="009A74C4" w:rsidP="00150E5C">
      <w:pPr>
        <w:jc w:val="both"/>
      </w:pPr>
      <w:r w:rsidRPr="002B1C6E">
        <w:t xml:space="preserve">For any materials (presentations, handouts, promotional materials, etc.) that are produced as part of this grant, </w:t>
      </w:r>
      <w:r w:rsidR="00D7419B">
        <w:t>UW</w:t>
      </w:r>
      <w:r w:rsidR="002C47BA">
        <w:t>-</w:t>
      </w:r>
      <w:r w:rsidR="00D7419B">
        <w:t>G</w:t>
      </w:r>
      <w:r w:rsidR="002C47BA">
        <w:t xml:space="preserve">reen </w:t>
      </w:r>
      <w:r w:rsidR="00D7419B">
        <w:t>B</w:t>
      </w:r>
      <w:r w:rsidR="002C47BA">
        <w:t>ay</w:t>
      </w:r>
      <w:r w:rsidR="00D7419B">
        <w:t xml:space="preserve"> </w:t>
      </w:r>
      <w:r w:rsidR="00150E5C">
        <w:t xml:space="preserve">and contractors </w:t>
      </w:r>
      <w:r w:rsidR="00D7419B">
        <w:t>will</w:t>
      </w:r>
      <w:r w:rsidRPr="002B1C6E">
        <w:t xml:space="preserve"> acknowledge </w:t>
      </w:r>
      <w:r w:rsidR="005A5F7F" w:rsidRPr="002B1C6E">
        <w:t>that this project was done with funding</w:t>
      </w:r>
      <w:r w:rsidRPr="002B1C6E">
        <w:t xml:space="preserve"> from the </w:t>
      </w:r>
      <w:r w:rsidR="002B44BD">
        <w:t>W</w:t>
      </w:r>
      <w:r w:rsidRPr="002B1C6E">
        <w:t>DNR Office of Great Lakes and the Great Lakes Restoration Initiative. Logos will be provided for this purpose.</w:t>
      </w:r>
    </w:p>
    <w:p w14:paraId="62785CD1" w14:textId="471856FD" w:rsidR="00C7798D" w:rsidRDefault="00C7798D" w:rsidP="00150E5C">
      <w:pPr>
        <w:jc w:val="both"/>
      </w:pPr>
    </w:p>
    <w:p w14:paraId="0BCDFFA8" w14:textId="7F381421" w:rsidR="00C7798D" w:rsidRDefault="00C7798D" w:rsidP="00150E5C">
      <w:pPr>
        <w:jc w:val="both"/>
      </w:pPr>
    </w:p>
    <w:p w14:paraId="25693DC3" w14:textId="1BDC82D8" w:rsidR="00C7798D" w:rsidRPr="009C68E3" w:rsidRDefault="00C7798D" w:rsidP="00150E5C">
      <w:pPr>
        <w:jc w:val="both"/>
        <w:rPr>
          <w:b/>
          <w:i/>
        </w:rPr>
      </w:pPr>
      <w:r w:rsidRPr="009C68E3">
        <w:rPr>
          <w:b/>
          <w:i/>
        </w:rPr>
        <w:t>Literature Cited:</w:t>
      </w:r>
    </w:p>
    <w:p w14:paraId="7594535C" w14:textId="194B4D7C" w:rsidR="00C7798D" w:rsidRDefault="00C7798D" w:rsidP="00150E5C">
      <w:pPr>
        <w:jc w:val="both"/>
        <w:rPr>
          <w:i/>
        </w:rPr>
      </w:pPr>
    </w:p>
    <w:p w14:paraId="5DBE52A5" w14:textId="57347683" w:rsidR="00A1527B" w:rsidRDefault="00A1527B" w:rsidP="00A1527B">
      <w:pPr>
        <w:ind w:left="360" w:hanging="360"/>
      </w:pPr>
      <w:proofErr w:type="spellStart"/>
      <w:r>
        <w:t>Connett</w:t>
      </w:r>
      <w:proofErr w:type="spellEnd"/>
      <w:r>
        <w:t xml:space="preserve">, E.V. 1949. </w:t>
      </w:r>
      <w:proofErr w:type="spellStart"/>
      <w:proofErr w:type="gramStart"/>
      <w:r>
        <w:t>Waterfowling</w:t>
      </w:r>
      <w:proofErr w:type="spellEnd"/>
      <w:r>
        <w:t xml:space="preserve"> in the Mississippi Flyway.</w:t>
      </w:r>
      <w:proofErr w:type="gramEnd"/>
      <w:r>
        <w:t xml:space="preserve"> Van </w:t>
      </w:r>
      <w:proofErr w:type="spellStart"/>
      <w:r>
        <w:t>Nostrand</w:t>
      </w:r>
      <w:proofErr w:type="spellEnd"/>
      <w:r>
        <w:t xml:space="preserve"> Co., Inc. New York.</w:t>
      </w:r>
    </w:p>
    <w:p w14:paraId="12B3644C" w14:textId="5D80DC39" w:rsidR="00A1527B" w:rsidRDefault="00A1527B" w:rsidP="00A1527B">
      <w:pPr>
        <w:ind w:left="360" w:hanging="360"/>
      </w:pPr>
    </w:p>
    <w:p w14:paraId="338D5887" w14:textId="10ABC1C7" w:rsidR="00A1527B" w:rsidRDefault="00A1527B" w:rsidP="00A1527B">
      <w:pPr>
        <w:ind w:left="360" w:hanging="360"/>
      </w:pPr>
      <w:r>
        <w:t xml:space="preserve">Harris, V.A. 1998. </w:t>
      </w:r>
      <w:r w:rsidR="009C53F3">
        <w:t>Waterfowl use of lower Green Bay before (1977-78) and after (1994-97)</w:t>
      </w:r>
      <w:r w:rsidR="00ED5334">
        <w:t xml:space="preserve"> </w:t>
      </w:r>
      <w:r w:rsidR="009C53F3">
        <w:t xml:space="preserve">zebra mussel invasion. M.S. Thesis. </w:t>
      </w:r>
      <w:proofErr w:type="gramStart"/>
      <w:r w:rsidR="009C53F3">
        <w:t>University of Wisconsin-Green Bay, Green Bay, WI.</w:t>
      </w:r>
      <w:proofErr w:type="gramEnd"/>
      <w:r w:rsidR="009C53F3">
        <w:t xml:space="preserve"> </w:t>
      </w:r>
      <w:proofErr w:type="gramStart"/>
      <w:r w:rsidR="009C53F3">
        <w:t>97 pp.</w:t>
      </w:r>
      <w:proofErr w:type="gramEnd"/>
      <w:r w:rsidR="009C53F3">
        <w:t xml:space="preserve">  </w:t>
      </w:r>
    </w:p>
    <w:p w14:paraId="4B8C5C61" w14:textId="77777777" w:rsidR="00A1527B" w:rsidRDefault="00A1527B" w:rsidP="00A1527B">
      <w:pPr>
        <w:ind w:left="360" w:hanging="360"/>
      </w:pPr>
    </w:p>
    <w:p w14:paraId="64791C8B" w14:textId="785E0FAD" w:rsidR="00A1527B" w:rsidRDefault="00A1527B" w:rsidP="00A1527B">
      <w:pPr>
        <w:ind w:left="360" w:hanging="360"/>
      </w:pPr>
      <w:proofErr w:type="spellStart"/>
      <w:proofErr w:type="gramStart"/>
      <w:r>
        <w:t>McEvoy</w:t>
      </w:r>
      <w:proofErr w:type="spellEnd"/>
      <w:r>
        <w:t>, J.F., G.P. Hall, and P.G. McDonald.</w:t>
      </w:r>
      <w:proofErr w:type="gramEnd"/>
      <w:r>
        <w:t xml:space="preserve"> 2016. Evaluation of unmanned aerial vehicle shape, flight path and camera type for waterfowl surveys: disturbance effects and species recognition. </w:t>
      </w:r>
      <w:proofErr w:type="spellStart"/>
      <w:r w:rsidRPr="009C53F3">
        <w:rPr>
          <w:i/>
        </w:rPr>
        <w:t>PeerJ</w:t>
      </w:r>
      <w:proofErr w:type="spellEnd"/>
      <w:r>
        <w:t xml:space="preserve"> 4:e1831; DOI 10.7717/peerj.1831. </w:t>
      </w:r>
    </w:p>
    <w:p w14:paraId="78E85E4B" w14:textId="33AA4FA4" w:rsidR="00C7798D" w:rsidRDefault="00A1527B" w:rsidP="00A1527B">
      <w:pPr>
        <w:ind w:left="360" w:hanging="360"/>
      </w:pPr>
      <w:r>
        <w:tab/>
      </w:r>
      <w:hyperlink r:id="rId12" w:history="1">
        <w:r w:rsidRPr="00E32AED">
          <w:rPr>
            <w:rStyle w:val="Hyperlink"/>
          </w:rPr>
          <w:t>https://www.ncbi.nlm.nih.gov/pmc/articles/PMC4806640/pdf/peerj-04-1831.pdf</w:t>
        </w:r>
      </w:hyperlink>
      <w:r>
        <w:t xml:space="preserve"> </w:t>
      </w:r>
    </w:p>
    <w:p w14:paraId="27BE1AC2" w14:textId="33039489" w:rsidR="009C53F3" w:rsidRDefault="009C53F3" w:rsidP="00A1527B">
      <w:pPr>
        <w:ind w:left="360" w:hanging="360"/>
      </w:pPr>
    </w:p>
    <w:p w14:paraId="2B6618DF" w14:textId="08FD1055" w:rsidR="009C53F3" w:rsidRDefault="009C53F3" w:rsidP="00A1527B">
      <w:pPr>
        <w:ind w:left="360" w:hanging="360"/>
      </w:pPr>
      <w:proofErr w:type="gramStart"/>
      <w:r>
        <w:t xml:space="preserve">Prince, H.H., P.I. Padding, and R.W. </w:t>
      </w:r>
      <w:proofErr w:type="spellStart"/>
      <w:r>
        <w:t>Knapton</w:t>
      </w:r>
      <w:proofErr w:type="spellEnd"/>
      <w:r>
        <w:t>.</w:t>
      </w:r>
      <w:proofErr w:type="gramEnd"/>
      <w:r>
        <w:t xml:space="preserve"> 1992. Waterfowl, use of the Great Lakes. </w:t>
      </w:r>
      <w:r w:rsidRPr="009C53F3">
        <w:rPr>
          <w:i/>
        </w:rPr>
        <w:t>Journal of Great Lakes Research</w:t>
      </w:r>
      <w:r>
        <w:t xml:space="preserve"> 18:673-699. </w:t>
      </w:r>
    </w:p>
    <w:p w14:paraId="6F68320A" w14:textId="24CBC8F1" w:rsidR="009C53F3" w:rsidRDefault="009C53F3" w:rsidP="00A1527B">
      <w:pPr>
        <w:ind w:left="360" w:hanging="360"/>
      </w:pPr>
    </w:p>
    <w:p w14:paraId="38E88504" w14:textId="34196BDF" w:rsidR="009C53F3" w:rsidRDefault="009C53F3" w:rsidP="00A1527B">
      <w:pPr>
        <w:ind w:left="360" w:hanging="360"/>
      </w:pPr>
      <w:proofErr w:type="spellStart"/>
      <w:proofErr w:type="gramStart"/>
      <w:r>
        <w:t>Rinella</w:t>
      </w:r>
      <w:proofErr w:type="spellEnd"/>
      <w:r>
        <w:t xml:space="preserve">, M.J., B.D. Maxwell, P.K. Fay, T. Weaver, and R.L. </w:t>
      </w:r>
      <w:proofErr w:type="spellStart"/>
      <w:r>
        <w:t>Sheley</w:t>
      </w:r>
      <w:proofErr w:type="spellEnd"/>
      <w:r>
        <w:t>.</w:t>
      </w:r>
      <w:proofErr w:type="gramEnd"/>
      <w:r>
        <w:t xml:space="preserve"> 2009. Control effort exacerbates invasive-species problem. </w:t>
      </w:r>
      <w:r w:rsidRPr="009C53F3">
        <w:rPr>
          <w:i/>
        </w:rPr>
        <w:t>Ecological Applications</w:t>
      </w:r>
      <w:r>
        <w:t xml:space="preserve"> 19:155-162.</w:t>
      </w:r>
    </w:p>
    <w:p w14:paraId="49978C32" w14:textId="67EC15CD" w:rsidR="00A1527B" w:rsidRDefault="00A1527B" w:rsidP="00A1527B">
      <w:pPr>
        <w:ind w:left="360" w:hanging="360"/>
      </w:pPr>
    </w:p>
    <w:p w14:paraId="670D5075" w14:textId="6AF46A17" w:rsidR="00A1527B" w:rsidRDefault="00A1527B" w:rsidP="00A1527B">
      <w:pPr>
        <w:ind w:left="360" w:hanging="360"/>
      </w:pPr>
      <w:proofErr w:type="gramStart"/>
      <w:r>
        <w:t>Stiller, D. 1994.</w:t>
      </w:r>
      <w:proofErr w:type="gramEnd"/>
      <w:r>
        <w:t xml:space="preserve"> Stiller’s duck camp – a half century of </w:t>
      </w:r>
      <w:proofErr w:type="spellStart"/>
      <w:r>
        <w:t>waterfowling</w:t>
      </w:r>
      <w:proofErr w:type="spellEnd"/>
      <w:r>
        <w:t xml:space="preserve"> on Green Bay. Alt Publishing Co. Green Bay, WI.  </w:t>
      </w:r>
      <w:proofErr w:type="gramStart"/>
      <w:r>
        <w:t>178 pp.</w:t>
      </w:r>
      <w:proofErr w:type="gramEnd"/>
      <w:r>
        <w:t xml:space="preserve"> </w:t>
      </w:r>
    </w:p>
    <w:p w14:paraId="3D96F4EF" w14:textId="0A32C628" w:rsidR="008C3B8B" w:rsidRDefault="008C3B8B" w:rsidP="00A1527B">
      <w:pPr>
        <w:ind w:left="360" w:hanging="360"/>
      </w:pPr>
    </w:p>
    <w:p w14:paraId="58E892BE" w14:textId="5FAC0748" w:rsidR="008C3B8B" w:rsidRPr="00C7798D" w:rsidRDefault="008C3B8B" w:rsidP="008C3B8B">
      <w:pPr>
        <w:ind w:left="360" w:hanging="360"/>
      </w:pPr>
      <w:r>
        <w:t xml:space="preserve">Wagner, K.I., J. </w:t>
      </w:r>
      <w:proofErr w:type="spellStart"/>
      <w:r>
        <w:t>Hauxwell</w:t>
      </w:r>
      <w:proofErr w:type="spellEnd"/>
      <w:r>
        <w:t xml:space="preserve">, P.W. Rasmussen , F. </w:t>
      </w:r>
      <w:proofErr w:type="spellStart"/>
      <w:r>
        <w:t>Koshere</w:t>
      </w:r>
      <w:proofErr w:type="spellEnd"/>
      <w:r>
        <w:t xml:space="preserve"> , P. </w:t>
      </w:r>
      <w:proofErr w:type="spellStart"/>
      <w:r>
        <w:t>Toshner</w:t>
      </w:r>
      <w:proofErr w:type="spellEnd"/>
      <w:r>
        <w:t xml:space="preserve">, K. Aron, D.R. </w:t>
      </w:r>
      <w:proofErr w:type="spellStart"/>
      <w:r>
        <w:t>Helsel</w:t>
      </w:r>
      <w:proofErr w:type="spellEnd"/>
      <w:r>
        <w:t xml:space="preserve">, S. </w:t>
      </w:r>
      <w:proofErr w:type="spellStart"/>
      <w:r>
        <w:t>Toshner</w:t>
      </w:r>
      <w:proofErr w:type="spellEnd"/>
      <w:r>
        <w:t xml:space="preserve">, S. Provost, M. </w:t>
      </w:r>
      <w:proofErr w:type="spellStart"/>
      <w:r>
        <w:t>Gansberg</w:t>
      </w:r>
      <w:proofErr w:type="spellEnd"/>
      <w:r>
        <w:t>, J. Masterson</w:t>
      </w:r>
      <w:r w:rsidR="00ED5334">
        <w:t>,</w:t>
      </w:r>
      <w:r>
        <w:t xml:space="preserve"> </w:t>
      </w:r>
      <w:r w:rsidR="00ED5334">
        <w:t xml:space="preserve">and </w:t>
      </w:r>
      <w:r>
        <w:t xml:space="preserve">S. Warwick. 2007. Whole-lake herbicide treatments for Eurasian </w:t>
      </w:r>
      <w:proofErr w:type="spellStart"/>
      <w:r>
        <w:t>watermilfoil</w:t>
      </w:r>
      <w:proofErr w:type="spellEnd"/>
      <w:r>
        <w:t xml:space="preserve"> in four Wisconsin lakes: effects on vegetation and water clarity. </w:t>
      </w:r>
      <w:r w:rsidRPr="008C3B8B">
        <w:rPr>
          <w:i/>
        </w:rPr>
        <w:t>Lake and Reservoir Management</w:t>
      </w:r>
      <w:r>
        <w:t>, 23:1, 83-94, DOI: 10.1080/07438140709353912</w:t>
      </w:r>
    </w:p>
    <w:sectPr w:rsidR="008C3B8B" w:rsidRPr="00C7798D" w:rsidSect="00A03573">
      <w:headerReference w:type="default" r:id="rId13"/>
      <w:footerReference w:type="default" r:id="rId14"/>
      <w:pgSz w:w="12240" w:h="15840" w:code="1"/>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B1C70" w14:textId="77777777" w:rsidR="000D4A6D" w:rsidRDefault="000D4A6D" w:rsidP="009F090C">
      <w:r>
        <w:separator/>
      </w:r>
    </w:p>
  </w:endnote>
  <w:endnote w:type="continuationSeparator" w:id="0">
    <w:p w14:paraId="2BAAEBEA" w14:textId="77777777" w:rsidR="000D4A6D" w:rsidRDefault="000D4A6D" w:rsidP="009F0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BB57A" w14:textId="77777777" w:rsidR="009853DD" w:rsidRDefault="009853DD" w:rsidP="00747022">
    <w:pPr>
      <w:pStyle w:val="Footer"/>
      <w:rPr>
        <w:sz w:val="6"/>
      </w:rPr>
    </w:pPr>
    <w:r>
      <w:rPr>
        <w:noProof/>
        <w:sz w:val="16"/>
      </w:rPr>
      <mc:AlternateContent>
        <mc:Choice Requires="wps">
          <w:drawing>
            <wp:anchor distT="0" distB="0" distL="114300" distR="114300" simplePos="0" relativeHeight="251657216" behindDoc="0" locked="0" layoutInCell="1" allowOverlap="1" wp14:anchorId="7894B76B" wp14:editId="7C4D716A">
              <wp:simplePos x="0" y="0"/>
              <wp:positionH relativeFrom="column">
                <wp:posOffset>7034</wp:posOffset>
              </wp:positionH>
              <wp:positionV relativeFrom="paragraph">
                <wp:posOffset>25840</wp:posOffset>
              </wp:positionV>
              <wp:extent cx="6600092" cy="5715"/>
              <wp:effectExtent l="0" t="0" r="10795" b="32385"/>
              <wp:wrapNone/>
              <wp:docPr id="1" name="Straight Connector 1"/>
              <wp:cNvGraphicFramePr/>
              <a:graphic xmlns:a="http://schemas.openxmlformats.org/drawingml/2006/main">
                <a:graphicData uri="http://schemas.microsoft.com/office/word/2010/wordprocessingShape">
                  <wps:wsp>
                    <wps:cNvCnPr/>
                    <wps:spPr>
                      <a:xfrm>
                        <a:off x="0" y="0"/>
                        <a:ext cx="6600092" cy="571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w:pict>
            <v:line w14:anchorId="4005DF40" id="Straight Connector 1"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2.05pt" to="520.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" strokecolor="black [3040]"/>
          </w:pict>
        </mc:Fallback>
      </mc:AlternateContent>
    </w:r>
  </w:p>
  <w:p w14:paraId="55E8BE07" w14:textId="6AA79379" w:rsidR="001C6B6E" w:rsidRDefault="009853DD" w:rsidP="001C6B6E">
    <w:r w:rsidRPr="00A95370">
      <w:rPr>
        <w:sz w:val="16"/>
      </w:rPr>
      <w:t xml:space="preserve">Page </w:t>
    </w:r>
    <w:r w:rsidRPr="00A95370">
      <w:rPr>
        <w:sz w:val="16"/>
      </w:rPr>
      <w:fldChar w:fldCharType="begin"/>
    </w:r>
    <w:r w:rsidRPr="00A95370">
      <w:rPr>
        <w:sz w:val="16"/>
      </w:rPr>
      <w:instrText xml:space="preserve"> PAGE  \* Arabic  \* MERGEFORMAT </w:instrText>
    </w:r>
    <w:r w:rsidRPr="00A95370">
      <w:rPr>
        <w:sz w:val="16"/>
      </w:rPr>
      <w:fldChar w:fldCharType="separate"/>
    </w:r>
    <w:r w:rsidR="00384F6D">
      <w:rPr>
        <w:noProof/>
        <w:sz w:val="16"/>
      </w:rPr>
      <w:t>1</w:t>
    </w:r>
    <w:r w:rsidRPr="00A95370">
      <w:rPr>
        <w:sz w:val="16"/>
      </w:rPr>
      <w:fldChar w:fldCharType="end"/>
    </w:r>
    <w:r w:rsidRPr="00A95370">
      <w:rPr>
        <w:sz w:val="16"/>
      </w:rPr>
      <w:t xml:space="preserve"> of </w:t>
    </w:r>
    <w:r w:rsidRPr="00A95370">
      <w:rPr>
        <w:sz w:val="16"/>
      </w:rPr>
      <w:fldChar w:fldCharType="begin"/>
    </w:r>
    <w:r w:rsidRPr="00A95370">
      <w:rPr>
        <w:sz w:val="16"/>
      </w:rPr>
      <w:instrText xml:space="preserve"> NUMPAGES   \* MERGEFORMAT </w:instrText>
    </w:r>
    <w:r w:rsidRPr="00A95370">
      <w:rPr>
        <w:sz w:val="16"/>
      </w:rPr>
      <w:fldChar w:fldCharType="separate"/>
    </w:r>
    <w:r w:rsidR="00384F6D">
      <w:rPr>
        <w:noProof/>
        <w:sz w:val="16"/>
      </w:rPr>
      <w:t>6</w:t>
    </w:r>
    <w:r w:rsidRPr="00A95370">
      <w:rPr>
        <w:sz w:val="16"/>
      </w:rPr>
      <w:fldChar w:fldCharType="end"/>
    </w:r>
    <w:r>
      <w:rPr>
        <w:sz w:val="16"/>
      </w:rPr>
      <w:ptab w:relativeTo="margin" w:alignment="right" w:leader="none"/>
    </w:r>
    <w:r w:rsidRPr="00393854">
      <w:rPr>
        <w:rFonts w:cstheme="minorHAnsi"/>
        <w:b/>
      </w:rPr>
      <w:t xml:space="preserve"> </w:t>
    </w:r>
    <w:r w:rsidR="001C6B6E" w:rsidRPr="001C6B6E">
      <w:rPr>
        <w:sz w:val="16"/>
      </w:rPr>
      <w:t>Lower Fox River Fish and Wildlife Habitat and Population Assessment</w:t>
    </w:r>
    <w:r w:rsidR="009E7CE3">
      <w:rPr>
        <w:sz w:val="16"/>
      </w:rPr>
      <w:t xml:space="preserve"> (</w:t>
    </w:r>
    <w:r w:rsidR="00E863FB">
      <w:rPr>
        <w:sz w:val="16"/>
      </w:rPr>
      <w:t xml:space="preserve">Complement </w:t>
    </w:r>
    <w:r w:rsidR="009E7CE3">
      <w:rPr>
        <w:sz w:val="16"/>
      </w:rPr>
      <w:t>to Phase 2)</w:t>
    </w:r>
  </w:p>
  <w:p w14:paraId="048CDE33" w14:textId="408F5626" w:rsidR="009853DD" w:rsidRPr="00393854" w:rsidRDefault="009853DD" w:rsidP="00393854">
    <w:pPr>
      <w:ind w:left="-86"/>
      <w:rPr>
        <w:rFonts w:cstheme="minorHAnsi"/>
        <w:sz w:val="16"/>
        <w:szCs w:val="16"/>
      </w:rPr>
    </w:pPr>
  </w:p>
  <w:p w14:paraId="622DF79D" w14:textId="79A787CF" w:rsidR="009853DD" w:rsidRDefault="009853DD" w:rsidP="00747022">
    <w:pPr>
      <w:pStyle w:val="Footer"/>
    </w:pPr>
  </w:p>
  <w:p w14:paraId="18812A43" w14:textId="77777777" w:rsidR="009853DD" w:rsidRDefault="009853DD">
    <w:pPr>
      <w:pStyle w:val="Footer"/>
    </w:pPr>
  </w:p>
  <w:p w14:paraId="2E3F1938" w14:textId="77777777" w:rsidR="009853DD" w:rsidRDefault="00985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BB499" w14:textId="77777777" w:rsidR="000D4A6D" w:rsidRDefault="000D4A6D" w:rsidP="009F090C">
      <w:r>
        <w:separator/>
      </w:r>
    </w:p>
  </w:footnote>
  <w:footnote w:type="continuationSeparator" w:id="0">
    <w:p w14:paraId="2C3AF0C7" w14:textId="77777777" w:rsidR="000D4A6D" w:rsidRDefault="000D4A6D" w:rsidP="009F0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75E4D" w14:textId="7F29333B" w:rsidR="009853DD" w:rsidRDefault="00ED5334" w:rsidP="00153677">
    <w:pPr>
      <w:pStyle w:val="Header"/>
      <w:pBdr>
        <w:bottom w:val="single" w:sz="4" w:space="1" w:color="auto"/>
      </w:pBdr>
    </w:pPr>
    <w:r>
      <w:t>SCOPE OF WORK</w:t>
    </w:r>
    <w:r w:rsidR="009853DD" w:rsidRPr="000526DA">
      <w:tab/>
      <w:t>University of Wisconsin-Green Bay</w:t>
    </w:r>
    <w:r w:rsidR="00317299">
      <w:tab/>
    </w:r>
    <w:r w:rsidR="007462F8">
      <w:t>2</w:t>
    </w:r>
    <w:r w:rsidR="00DA557F">
      <w:t>1</w:t>
    </w:r>
    <w:r w:rsidR="00AF7949">
      <w:t xml:space="preserve"> </w:t>
    </w:r>
    <w:r w:rsidR="007462F8">
      <w:t>November</w:t>
    </w:r>
    <w:r>
      <w:t xml:space="preserve"> </w:t>
    </w:r>
    <w:r w:rsidR="009853DD">
      <w:t>201</w:t>
    </w:r>
    <w:r w:rsidR="00730A8A">
      <w:t>6</w:t>
    </w:r>
  </w:p>
  <w:p w14:paraId="6AC4AA76" w14:textId="7F9BC23B" w:rsidR="009853DD" w:rsidRPr="00153677" w:rsidRDefault="009853DD" w:rsidP="001536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0256"/>
    <w:multiLevelType w:val="hybridMultilevel"/>
    <w:tmpl w:val="64FA3404"/>
    <w:lvl w:ilvl="0" w:tplc="0409000F">
      <w:start w:val="1"/>
      <w:numFmt w:val="decimal"/>
      <w:lvlText w:val="%1."/>
      <w:lvlJc w:val="left"/>
      <w:pPr>
        <w:ind w:left="720" w:hanging="360"/>
      </w:pPr>
    </w:lvl>
    <w:lvl w:ilvl="1" w:tplc="04090019">
      <w:start w:val="1"/>
      <w:numFmt w:val="lowerLetter"/>
      <w:lvlText w:val="%2."/>
      <w:lvlJc w:val="left"/>
      <w:pPr>
        <w:ind w:left="1440" w:hanging="360"/>
      </w:pPr>
      <w:rPr>
        <w:rFonts w:ascii="Times New Roman" w:hAnsi="Times New Roman" w:cs="Times New Roman"/>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
    <w:nsid w:val="03B8606D"/>
    <w:multiLevelType w:val="hybridMultilevel"/>
    <w:tmpl w:val="746E4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B1E18"/>
    <w:multiLevelType w:val="singleLevel"/>
    <w:tmpl w:val="04090001"/>
    <w:lvl w:ilvl="0">
      <w:start w:val="1"/>
      <w:numFmt w:val="bullet"/>
      <w:lvlText w:val=""/>
      <w:lvlJc w:val="left"/>
      <w:pPr>
        <w:ind w:left="720" w:hanging="360"/>
      </w:pPr>
      <w:rPr>
        <w:rFonts w:ascii="Symbol" w:hAnsi="Symbol" w:hint="default"/>
      </w:rPr>
    </w:lvl>
  </w:abstractNum>
  <w:abstractNum w:abstractNumId="3">
    <w:nsid w:val="047B1C57"/>
    <w:multiLevelType w:val="hybridMultilevel"/>
    <w:tmpl w:val="E3E8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93199"/>
    <w:multiLevelType w:val="hybridMultilevel"/>
    <w:tmpl w:val="D984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134552"/>
    <w:multiLevelType w:val="hybridMultilevel"/>
    <w:tmpl w:val="24426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8053D9"/>
    <w:multiLevelType w:val="hybridMultilevel"/>
    <w:tmpl w:val="0E343836"/>
    <w:lvl w:ilvl="0" w:tplc="BE6A61C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620860"/>
    <w:multiLevelType w:val="hybridMultilevel"/>
    <w:tmpl w:val="0E98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F54BDF"/>
    <w:multiLevelType w:val="hybridMultilevel"/>
    <w:tmpl w:val="FBAA730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nsid w:val="1DE9247A"/>
    <w:multiLevelType w:val="hybridMultilevel"/>
    <w:tmpl w:val="0BCC0EE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1F61993"/>
    <w:multiLevelType w:val="hybridMultilevel"/>
    <w:tmpl w:val="BC14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C7253A"/>
    <w:multiLevelType w:val="hybridMultilevel"/>
    <w:tmpl w:val="99E2175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2E220A90"/>
    <w:multiLevelType w:val="hybridMultilevel"/>
    <w:tmpl w:val="D3BA13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371F680D"/>
    <w:multiLevelType w:val="hybridMultilevel"/>
    <w:tmpl w:val="2E4E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AE64CF"/>
    <w:multiLevelType w:val="hybridMultilevel"/>
    <w:tmpl w:val="6DE8D2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D0A58AE"/>
    <w:multiLevelType w:val="hybridMultilevel"/>
    <w:tmpl w:val="C06EE77A"/>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6">
    <w:nsid w:val="4184198D"/>
    <w:multiLevelType w:val="hybridMultilevel"/>
    <w:tmpl w:val="855472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205E8A"/>
    <w:multiLevelType w:val="hybridMultilevel"/>
    <w:tmpl w:val="80DE309A"/>
    <w:lvl w:ilvl="0" w:tplc="04090015">
      <w:start w:val="1"/>
      <w:numFmt w:val="upperLetter"/>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8">
    <w:nsid w:val="43C518B9"/>
    <w:multiLevelType w:val="hybridMultilevel"/>
    <w:tmpl w:val="919C9C14"/>
    <w:lvl w:ilvl="0" w:tplc="45C4C37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D43C6B"/>
    <w:multiLevelType w:val="hybridMultilevel"/>
    <w:tmpl w:val="2B46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9560B5"/>
    <w:multiLevelType w:val="hybridMultilevel"/>
    <w:tmpl w:val="63A05B94"/>
    <w:lvl w:ilvl="0" w:tplc="A1828D44">
      <w:start w:val="1"/>
      <w:numFmt w:val="decimal"/>
      <w:lvlText w:val="%1."/>
      <w:lvlJc w:val="left"/>
      <w:pPr>
        <w:ind w:left="820" w:hanging="360"/>
      </w:pPr>
      <w:rPr>
        <w:rFonts w:hint="default"/>
        <w:b w:val="0"/>
        <w:i w:val="0"/>
      </w:rPr>
    </w:lvl>
    <w:lvl w:ilvl="1" w:tplc="04090017">
      <w:start w:val="1"/>
      <w:numFmt w:val="lowerLetter"/>
      <w:lvlText w:val="%2)"/>
      <w:lvlJc w:val="left"/>
      <w:pPr>
        <w:ind w:left="1540" w:hanging="360"/>
      </w:pPr>
      <w:rPr>
        <w:rFonts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nsid w:val="49550497"/>
    <w:multiLevelType w:val="hybridMultilevel"/>
    <w:tmpl w:val="74D0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971D8E"/>
    <w:multiLevelType w:val="hybridMultilevel"/>
    <w:tmpl w:val="13B0CD9C"/>
    <w:lvl w:ilvl="0" w:tplc="04090015">
      <w:start w:val="1"/>
      <w:numFmt w:val="upperLetter"/>
      <w:lvlText w:val="%1."/>
      <w:lvlJc w:val="left"/>
      <w:pPr>
        <w:ind w:left="1620" w:hanging="360"/>
      </w:pPr>
    </w:lvl>
    <w:lvl w:ilvl="1" w:tplc="04090001">
      <w:start w:val="1"/>
      <w:numFmt w:val="bullet"/>
      <w:lvlText w:val=""/>
      <w:lvlJc w:val="left"/>
      <w:pPr>
        <w:ind w:left="2340" w:hanging="360"/>
      </w:pPr>
      <w:rPr>
        <w:rFonts w:ascii="Symbol" w:hAnsi="Symbol" w:hint="default"/>
      </w:r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23">
    <w:nsid w:val="5BC2583B"/>
    <w:multiLevelType w:val="hybridMultilevel"/>
    <w:tmpl w:val="3D9E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A26AB4"/>
    <w:multiLevelType w:val="hybridMultilevel"/>
    <w:tmpl w:val="78E21342"/>
    <w:lvl w:ilvl="0" w:tplc="4A005AB4">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3719A1"/>
    <w:multiLevelType w:val="hybridMultilevel"/>
    <w:tmpl w:val="DF5A0E92"/>
    <w:lvl w:ilvl="0" w:tplc="04090001">
      <w:start w:val="1"/>
      <w:numFmt w:val="bullet"/>
      <w:lvlText w:val=""/>
      <w:lvlJc w:val="left"/>
      <w:pPr>
        <w:ind w:left="1620" w:hanging="360"/>
      </w:pPr>
      <w:rPr>
        <w:rFonts w:ascii="Symbol" w:hAnsi="Symbol" w:hint="default"/>
      </w:rPr>
    </w:lvl>
    <w:lvl w:ilvl="1" w:tplc="04090001">
      <w:start w:val="1"/>
      <w:numFmt w:val="bullet"/>
      <w:lvlText w:val=""/>
      <w:lvlJc w:val="left"/>
      <w:pPr>
        <w:ind w:left="2340" w:hanging="360"/>
      </w:pPr>
      <w:rPr>
        <w:rFonts w:ascii="Symbol" w:hAnsi="Symbol" w:hint="default"/>
      </w:r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26">
    <w:nsid w:val="766B4088"/>
    <w:multiLevelType w:val="hybridMultilevel"/>
    <w:tmpl w:val="B900EB18"/>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5F3BAC"/>
    <w:multiLevelType w:val="hybridMultilevel"/>
    <w:tmpl w:val="036C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105CF9"/>
    <w:multiLevelType w:val="hybridMultilevel"/>
    <w:tmpl w:val="2C18F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5"/>
  </w:num>
  <w:num w:numId="5">
    <w:abstractNumId w:val="12"/>
  </w:num>
  <w:num w:numId="6">
    <w:abstractNumId w:val="22"/>
  </w:num>
  <w:num w:numId="7">
    <w:abstractNumId w:val="25"/>
  </w:num>
  <w:num w:numId="8">
    <w:abstractNumId w:val="11"/>
  </w:num>
  <w:num w:numId="9">
    <w:abstractNumId w:val="4"/>
  </w:num>
  <w:num w:numId="10">
    <w:abstractNumId w:val="2"/>
  </w:num>
  <w:num w:numId="11">
    <w:abstractNumId w:val="21"/>
  </w:num>
  <w:num w:numId="12">
    <w:abstractNumId w:val="5"/>
  </w:num>
  <w:num w:numId="13">
    <w:abstractNumId w:val="10"/>
  </w:num>
  <w:num w:numId="14">
    <w:abstractNumId w:val="23"/>
  </w:num>
  <w:num w:numId="15">
    <w:abstractNumId w:val="0"/>
  </w:num>
  <w:num w:numId="16">
    <w:abstractNumId w:val="28"/>
  </w:num>
  <w:num w:numId="17">
    <w:abstractNumId w:val="1"/>
  </w:num>
  <w:num w:numId="18">
    <w:abstractNumId w:val="14"/>
  </w:num>
  <w:num w:numId="19">
    <w:abstractNumId w:val="9"/>
  </w:num>
  <w:num w:numId="20">
    <w:abstractNumId w:val="27"/>
  </w:num>
  <w:num w:numId="21">
    <w:abstractNumId w:val="24"/>
  </w:num>
  <w:num w:numId="22">
    <w:abstractNumId w:val="6"/>
  </w:num>
  <w:num w:numId="23">
    <w:abstractNumId w:val="26"/>
  </w:num>
  <w:num w:numId="24">
    <w:abstractNumId w:val="16"/>
  </w:num>
  <w:num w:numId="25">
    <w:abstractNumId w:val="18"/>
  </w:num>
  <w:num w:numId="26">
    <w:abstractNumId w:val="20"/>
  </w:num>
  <w:num w:numId="27">
    <w:abstractNumId w:val="7"/>
  </w:num>
  <w:num w:numId="28">
    <w:abstractNumId w:val="19"/>
  </w:num>
  <w:num w:numId="29">
    <w:abstractNumId w:val="1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A9F"/>
    <w:rsid w:val="000012D9"/>
    <w:rsid w:val="000012E4"/>
    <w:rsid w:val="00001C54"/>
    <w:rsid w:val="000021B3"/>
    <w:rsid w:val="000034EA"/>
    <w:rsid w:val="00010E1D"/>
    <w:rsid w:val="00014417"/>
    <w:rsid w:val="00015620"/>
    <w:rsid w:val="000157D9"/>
    <w:rsid w:val="00017E1D"/>
    <w:rsid w:val="00021C02"/>
    <w:rsid w:val="000309EA"/>
    <w:rsid w:val="00032225"/>
    <w:rsid w:val="000326C9"/>
    <w:rsid w:val="00034719"/>
    <w:rsid w:val="00035B8D"/>
    <w:rsid w:val="00036B08"/>
    <w:rsid w:val="0003735A"/>
    <w:rsid w:val="00041B3A"/>
    <w:rsid w:val="00050C10"/>
    <w:rsid w:val="000514E5"/>
    <w:rsid w:val="00057CA1"/>
    <w:rsid w:val="000601CD"/>
    <w:rsid w:val="00063266"/>
    <w:rsid w:val="00064305"/>
    <w:rsid w:val="00065DFE"/>
    <w:rsid w:val="000668FF"/>
    <w:rsid w:val="00067B9E"/>
    <w:rsid w:val="0008067F"/>
    <w:rsid w:val="000818E2"/>
    <w:rsid w:val="00096D48"/>
    <w:rsid w:val="000A044F"/>
    <w:rsid w:val="000A1253"/>
    <w:rsid w:val="000A310F"/>
    <w:rsid w:val="000A7932"/>
    <w:rsid w:val="000B54E3"/>
    <w:rsid w:val="000C0CC3"/>
    <w:rsid w:val="000C3335"/>
    <w:rsid w:val="000D0808"/>
    <w:rsid w:val="000D4A6D"/>
    <w:rsid w:val="000E3110"/>
    <w:rsid w:val="000E6833"/>
    <w:rsid w:val="000F52A7"/>
    <w:rsid w:val="001071C6"/>
    <w:rsid w:val="00116001"/>
    <w:rsid w:val="00120DE7"/>
    <w:rsid w:val="00124364"/>
    <w:rsid w:val="001258F1"/>
    <w:rsid w:val="001307A6"/>
    <w:rsid w:val="0013249D"/>
    <w:rsid w:val="001333BD"/>
    <w:rsid w:val="00140351"/>
    <w:rsid w:val="00143E0E"/>
    <w:rsid w:val="00150E5C"/>
    <w:rsid w:val="00151DDF"/>
    <w:rsid w:val="00153677"/>
    <w:rsid w:val="001647B3"/>
    <w:rsid w:val="00171ACB"/>
    <w:rsid w:val="00180A23"/>
    <w:rsid w:val="00181CC8"/>
    <w:rsid w:val="00182044"/>
    <w:rsid w:val="001918A8"/>
    <w:rsid w:val="00197E78"/>
    <w:rsid w:val="001A19F7"/>
    <w:rsid w:val="001A1A44"/>
    <w:rsid w:val="001A3684"/>
    <w:rsid w:val="001B6F80"/>
    <w:rsid w:val="001B6FD3"/>
    <w:rsid w:val="001C0FCA"/>
    <w:rsid w:val="001C6832"/>
    <w:rsid w:val="001C6B6E"/>
    <w:rsid w:val="001D3D2E"/>
    <w:rsid w:val="001D56DA"/>
    <w:rsid w:val="001D6CD0"/>
    <w:rsid w:val="001E0D3E"/>
    <w:rsid w:val="001F13F4"/>
    <w:rsid w:val="001F19F2"/>
    <w:rsid w:val="001F2B68"/>
    <w:rsid w:val="001F3BA6"/>
    <w:rsid w:val="001F5507"/>
    <w:rsid w:val="00205844"/>
    <w:rsid w:val="00210666"/>
    <w:rsid w:val="00213D94"/>
    <w:rsid w:val="0021482D"/>
    <w:rsid w:val="00235AD0"/>
    <w:rsid w:val="00243B36"/>
    <w:rsid w:val="0025109E"/>
    <w:rsid w:val="00254FAC"/>
    <w:rsid w:val="0025723F"/>
    <w:rsid w:val="0025778B"/>
    <w:rsid w:val="00263892"/>
    <w:rsid w:val="00263EC2"/>
    <w:rsid w:val="00266902"/>
    <w:rsid w:val="002703DE"/>
    <w:rsid w:val="0027337D"/>
    <w:rsid w:val="00282B25"/>
    <w:rsid w:val="00285C13"/>
    <w:rsid w:val="00287120"/>
    <w:rsid w:val="0028712A"/>
    <w:rsid w:val="0029128C"/>
    <w:rsid w:val="0029224A"/>
    <w:rsid w:val="00293591"/>
    <w:rsid w:val="00294C9E"/>
    <w:rsid w:val="002A12F7"/>
    <w:rsid w:val="002A2E78"/>
    <w:rsid w:val="002B1C6E"/>
    <w:rsid w:val="002B2E37"/>
    <w:rsid w:val="002B44BD"/>
    <w:rsid w:val="002B6348"/>
    <w:rsid w:val="002B76DA"/>
    <w:rsid w:val="002C1039"/>
    <w:rsid w:val="002C47BA"/>
    <w:rsid w:val="002E0356"/>
    <w:rsid w:val="002E1A9F"/>
    <w:rsid w:val="002E3395"/>
    <w:rsid w:val="002E3578"/>
    <w:rsid w:val="002E6FD8"/>
    <w:rsid w:val="002F21E2"/>
    <w:rsid w:val="002F479A"/>
    <w:rsid w:val="00304D1F"/>
    <w:rsid w:val="003066F3"/>
    <w:rsid w:val="00312CA8"/>
    <w:rsid w:val="00317299"/>
    <w:rsid w:val="00327D82"/>
    <w:rsid w:val="00334239"/>
    <w:rsid w:val="00340DA6"/>
    <w:rsid w:val="00350774"/>
    <w:rsid w:val="00362D88"/>
    <w:rsid w:val="0036413C"/>
    <w:rsid w:val="00372289"/>
    <w:rsid w:val="0037386E"/>
    <w:rsid w:val="00375EBE"/>
    <w:rsid w:val="00376C43"/>
    <w:rsid w:val="00384F6D"/>
    <w:rsid w:val="003917EC"/>
    <w:rsid w:val="00392972"/>
    <w:rsid w:val="00393854"/>
    <w:rsid w:val="003B3FD4"/>
    <w:rsid w:val="003B5FA7"/>
    <w:rsid w:val="003C09A8"/>
    <w:rsid w:val="003D2764"/>
    <w:rsid w:val="003D66FE"/>
    <w:rsid w:val="003E4A17"/>
    <w:rsid w:val="003E7C66"/>
    <w:rsid w:val="003F5D09"/>
    <w:rsid w:val="003F6395"/>
    <w:rsid w:val="00401376"/>
    <w:rsid w:val="0040181E"/>
    <w:rsid w:val="00402E14"/>
    <w:rsid w:val="004042FD"/>
    <w:rsid w:val="00404CB5"/>
    <w:rsid w:val="004053C3"/>
    <w:rsid w:val="00405582"/>
    <w:rsid w:val="00410057"/>
    <w:rsid w:val="004254FF"/>
    <w:rsid w:val="00441210"/>
    <w:rsid w:val="00442A0E"/>
    <w:rsid w:val="00445EC2"/>
    <w:rsid w:val="0045369B"/>
    <w:rsid w:val="00453C4E"/>
    <w:rsid w:val="0047040A"/>
    <w:rsid w:val="00487C41"/>
    <w:rsid w:val="0049013B"/>
    <w:rsid w:val="00492118"/>
    <w:rsid w:val="004935F7"/>
    <w:rsid w:val="0049635A"/>
    <w:rsid w:val="004965C7"/>
    <w:rsid w:val="004975F2"/>
    <w:rsid w:val="004A6C1E"/>
    <w:rsid w:val="004A7AC8"/>
    <w:rsid w:val="004B19F0"/>
    <w:rsid w:val="004B21A5"/>
    <w:rsid w:val="004B3DEB"/>
    <w:rsid w:val="004B4E98"/>
    <w:rsid w:val="004C0B60"/>
    <w:rsid w:val="004C1759"/>
    <w:rsid w:val="004C3E46"/>
    <w:rsid w:val="004C4940"/>
    <w:rsid w:val="004D356C"/>
    <w:rsid w:val="004D5093"/>
    <w:rsid w:val="004E040C"/>
    <w:rsid w:val="004F1D96"/>
    <w:rsid w:val="004F6516"/>
    <w:rsid w:val="00511A9F"/>
    <w:rsid w:val="005134B5"/>
    <w:rsid w:val="00514E09"/>
    <w:rsid w:val="005174D0"/>
    <w:rsid w:val="00523F0B"/>
    <w:rsid w:val="00524100"/>
    <w:rsid w:val="0052666E"/>
    <w:rsid w:val="00526DF8"/>
    <w:rsid w:val="005303F3"/>
    <w:rsid w:val="00537711"/>
    <w:rsid w:val="00540F45"/>
    <w:rsid w:val="00550C3C"/>
    <w:rsid w:val="0055250F"/>
    <w:rsid w:val="00553F53"/>
    <w:rsid w:val="00556263"/>
    <w:rsid w:val="00561543"/>
    <w:rsid w:val="00562A82"/>
    <w:rsid w:val="00567EC3"/>
    <w:rsid w:val="00574625"/>
    <w:rsid w:val="00577985"/>
    <w:rsid w:val="0058110F"/>
    <w:rsid w:val="00584F38"/>
    <w:rsid w:val="00585030"/>
    <w:rsid w:val="00585893"/>
    <w:rsid w:val="005A5F7F"/>
    <w:rsid w:val="005A61AD"/>
    <w:rsid w:val="005B1C95"/>
    <w:rsid w:val="005B7AA6"/>
    <w:rsid w:val="005C46B8"/>
    <w:rsid w:val="005C650A"/>
    <w:rsid w:val="005C7333"/>
    <w:rsid w:val="005D2790"/>
    <w:rsid w:val="005D555D"/>
    <w:rsid w:val="005D5DED"/>
    <w:rsid w:val="005E5CED"/>
    <w:rsid w:val="005E7922"/>
    <w:rsid w:val="005E7E29"/>
    <w:rsid w:val="005F1355"/>
    <w:rsid w:val="005F1411"/>
    <w:rsid w:val="005F2800"/>
    <w:rsid w:val="006032A6"/>
    <w:rsid w:val="00607CC7"/>
    <w:rsid w:val="00610218"/>
    <w:rsid w:val="006131F6"/>
    <w:rsid w:val="00614AB3"/>
    <w:rsid w:val="00627AD6"/>
    <w:rsid w:val="00630B64"/>
    <w:rsid w:val="00632016"/>
    <w:rsid w:val="006504B5"/>
    <w:rsid w:val="00650675"/>
    <w:rsid w:val="00655A32"/>
    <w:rsid w:val="006609D9"/>
    <w:rsid w:val="00662EE8"/>
    <w:rsid w:val="00666B3E"/>
    <w:rsid w:val="00672742"/>
    <w:rsid w:val="0067509D"/>
    <w:rsid w:val="0067519F"/>
    <w:rsid w:val="006824C2"/>
    <w:rsid w:val="00682E93"/>
    <w:rsid w:val="00683DFA"/>
    <w:rsid w:val="00692344"/>
    <w:rsid w:val="006962BD"/>
    <w:rsid w:val="006A0107"/>
    <w:rsid w:val="006B63CA"/>
    <w:rsid w:val="006C012B"/>
    <w:rsid w:val="006C4141"/>
    <w:rsid w:val="006D1C6E"/>
    <w:rsid w:val="006D5387"/>
    <w:rsid w:val="006E3A2E"/>
    <w:rsid w:val="006F0174"/>
    <w:rsid w:val="007007D2"/>
    <w:rsid w:val="00701DA6"/>
    <w:rsid w:val="00704AAD"/>
    <w:rsid w:val="00707653"/>
    <w:rsid w:val="007118A1"/>
    <w:rsid w:val="00724B9B"/>
    <w:rsid w:val="00730A8A"/>
    <w:rsid w:val="007346A4"/>
    <w:rsid w:val="007350E7"/>
    <w:rsid w:val="00737E6B"/>
    <w:rsid w:val="007462F8"/>
    <w:rsid w:val="00747022"/>
    <w:rsid w:val="00750B7F"/>
    <w:rsid w:val="0075132C"/>
    <w:rsid w:val="007676D3"/>
    <w:rsid w:val="007738B5"/>
    <w:rsid w:val="0077586C"/>
    <w:rsid w:val="007817FA"/>
    <w:rsid w:val="00783BB2"/>
    <w:rsid w:val="00784818"/>
    <w:rsid w:val="0079029F"/>
    <w:rsid w:val="00791232"/>
    <w:rsid w:val="007954F6"/>
    <w:rsid w:val="007A3A8A"/>
    <w:rsid w:val="007A7DAF"/>
    <w:rsid w:val="007B4091"/>
    <w:rsid w:val="007C3CC7"/>
    <w:rsid w:val="007C777E"/>
    <w:rsid w:val="007D0A8E"/>
    <w:rsid w:val="007D195B"/>
    <w:rsid w:val="007D5108"/>
    <w:rsid w:val="007D5AC5"/>
    <w:rsid w:val="007D74F9"/>
    <w:rsid w:val="007D79C0"/>
    <w:rsid w:val="007E2E35"/>
    <w:rsid w:val="007E6419"/>
    <w:rsid w:val="007E7E47"/>
    <w:rsid w:val="007F05B8"/>
    <w:rsid w:val="007F0F48"/>
    <w:rsid w:val="007F2157"/>
    <w:rsid w:val="007F3ED5"/>
    <w:rsid w:val="007F7B74"/>
    <w:rsid w:val="008049FD"/>
    <w:rsid w:val="00811BE4"/>
    <w:rsid w:val="00812B7F"/>
    <w:rsid w:val="00814900"/>
    <w:rsid w:val="00815388"/>
    <w:rsid w:val="00834652"/>
    <w:rsid w:val="00852882"/>
    <w:rsid w:val="008551A5"/>
    <w:rsid w:val="008648BB"/>
    <w:rsid w:val="00874B26"/>
    <w:rsid w:val="0087689F"/>
    <w:rsid w:val="0087708D"/>
    <w:rsid w:val="00877321"/>
    <w:rsid w:val="00883C13"/>
    <w:rsid w:val="008850F4"/>
    <w:rsid w:val="008859BA"/>
    <w:rsid w:val="00896C9C"/>
    <w:rsid w:val="008B08B4"/>
    <w:rsid w:val="008B2401"/>
    <w:rsid w:val="008C15FC"/>
    <w:rsid w:val="008C21D2"/>
    <w:rsid w:val="008C3B8B"/>
    <w:rsid w:val="008D069C"/>
    <w:rsid w:val="008D43F7"/>
    <w:rsid w:val="008D4F39"/>
    <w:rsid w:val="008E1FCF"/>
    <w:rsid w:val="008E275E"/>
    <w:rsid w:val="008E4C37"/>
    <w:rsid w:val="008F10F8"/>
    <w:rsid w:val="008F65BC"/>
    <w:rsid w:val="00904BF1"/>
    <w:rsid w:val="009119AB"/>
    <w:rsid w:val="00913F2F"/>
    <w:rsid w:val="009164DF"/>
    <w:rsid w:val="00917FD3"/>
    <w:rsid w:val="00921814"/>
    <w:rsid w:val="00922035"/>
    <w:rsid w:val="00925F9D"/>
    <w:rsid w:val="00932F14"/>
    <w:rsid w:val="00936BA9"/>
    <w:rsid w:val="00940AEE"/>
    <w:rsid w:val="0094517A"/>
    <w:rsid w:val="0095006C"/>
    <w:rsid w:val="009517C8"/>
    <w:rsid w:val="00963EBB"/>
    <w:rsid w:val="009660D1"/>
    <w:rsid w:val="00971A8D"/>
    <w:rsid w:val="00977560"/>
    <w:rsid w:val="009824DB"/>
    <w:rsid w:val="00984EC2"/>
    <w:rsid w:val="009853DD"/>
    <w:rsid w:val="00985B09"/>
    <w:rsid w:val="00986424"/>
    <w:rsid w:val="00991A5B"/>
    <w:rsid w:val="009A74C4"/>
    <w:rsid w:val="009B2AF6"/>
    <w:rsid w:val="009B65DB"/>
    <w:rsid w:val="009C4191"/>
    <w:rsid w:val="009C53F3"/>
    <w:rsid w:val="009C6616"/>
    <w:rsid w:val="009C68E3"/>
    <w:rsid w:val="009C6B8D"/>
    <w:rsid w:val="009D3157"/>
    <w:rsid w:val="009D747C"/>
    <w:rsid w:val="009E0E9A"/>
    <w:rsid w:val="009E4B8E"/>
    <w:rsid w:val="009E5EDE"/>
    <w:rsid w:val="009E7CE3"/>
    <w:rsid w:val="009F090C"/>
    <w:rsid w:val="00A03573"/>
    <w:rsid w:val="00A03850"/>
    <w:rsid w:val="00A07354"/>
    <w:rsid w:val="00A10A17"/>
    <w:rsid w:val="00A13BEC"/>
    <w:rsid w:val="00A1527B"/>
    <w:rsid w:val="00A23527"/>
    <w:rsid w:val="00A237FD"/>
    <w:rsid w:val="00A25ABD"/>
    <w:rsid w:val="00A2636A"/>
    <w:rsid w:val="00A30380"/>
    <w:rsid w:val="00A35B0C"/>
    <w:rsid w:val="00A37AED"/>
    <w:rsid w:val="00A47891"/>
    <w:rsid w:val="00A56640"/>
    <w:rsid w:val="00A5773D"/>
    <w:rsid w:val="00A60A55"/>
    <w:rsid w:val="00A641E0"/>
    <w:rsid w:val="00A677AA"/>
    <w:rsid w:val="00A769DC"/>
    <w:rsid w:val="00A77975"/>
    <w:rsid w:val="00A81FFD"/>
    <w:rsid w:val="00A83727"/>
    <w:rsid w:val="00A86C74"/>
    <w:rsid w:val="00A92C55"/>
    <w:rsid w:val="00AA0ECC"/>
    <w:rsid w:val="00AB3C24"/>
    <w:rsid w:val="00AB3F3C"/>
    <w:rsid w:val="00AC1262"/>
    <w:rsid w:val="00AD1630"/>
    <w:rsid w:val="00AE1926"/>
    <w:rsid w:val="00AE2255"/>
    <w:rsid w:val="00AE7778"/>
    <w:rsid w:val="00AF2D0C"/>
    <w:rsid w:val="00AF7949"/>
    <w:rsid w:val="00AF7D7D"/>
    <w:rsid w:val="00B02A22"/>
    <w:rsid w:val="00B045B5"/>
    <w:rsid w:val="00B11294"/>
    <w:rsid w:val="00B167B2"/>
    <w:rsid w:val="00B23FA9"/>
    <w:rsid w:val="00B25DFD"/>
    <w:rsid w:val="00B330E5"/>
    <w:rsid w:val="00B55A12"/>
    <w:rsid w:val="00B667CD"/>
    <w:rsid w:val="00B67055"/>
    <w:rsid w:val="00B80530"/>
    <w:rsid w:val="00B806B7"/>
    <w:rsid w:val="00B914B4"/>
    <w:rsid w:val="00BA0817"/>
    <w:rsid w:val="00BA1022"/>
    <w:rsid w:val="00BA21D3"/>
    <w:rsid w:val="00BB3415"/>
    <w:rsid w:val="00BB751F"/>
    <w:rsid w:val="00BC55ED"/>
    <w:rsid w:val="00BC72CA"/>
    <w:rsid w:val="00BD514F"/>
    <w:rsid w:val="00BD526A"/>
    <w:rsid w:val="00BD5F73"/>
    <w:rsid w:val="00BD6128"/>
    <w:rsid w:val="00BD7E95"/>
    <w:rsid w:val="00BE3941"/>
    <w:rsid w:val="00BF16B8"/>
    <w:rsid w:val="00BF24C5"/>
    <w:rsid w:val="00BF53FE"/>
    <w:rsid w:val="00BF6664"/>
    <w:rsid w:val="00BF73A7"/>
    <w:rsid w:val="00C00381"/>
    <w:rsid w:val="00C062C5"/>
    <w:rsid w:val="00C14D53"/>
    <w:rsid w:val="00C17179"/>
    <w:rsid w:val="00C1762A"/>
    <w:rsid w:val="00C20490"/>
    <w:rsid w:val="00C24107"/>
    <w:rsid w:val="00C25575"/>
    <w:rsid w:val="00C26CF9"/>
    <w:rsid w:val="00C332D4"/>
    <w:rsid w:val="00C370DB"/>
    <w:rsid w:val="00C41019"/>
    <w:rsid w:val="00C436BA"/>
    <w:rsid w:val="00C45F4B"/>
    <w:rsid w:val="00C53F35"/>
    <w:rsid w:val="00C570E3"/>
    <w:rsid w:val="00C60A27"/>
    <w:rsid w:val="00C64C56"/>
    <w:rsid w:val="00C72DEF"/>
    <w:rsid w:val="00C735BE"/>
    <w:rsid w:val="00C76C20"/>
    <w:rsid w:val="00C7798D"/>
    <w:rsid w:val="00C8123F"/>
    <w:rsid w:val="00C87175"/>
    <w:rsid w:val="00C871BF"/>
    <w:rsid w:val="00C9633A"/>
    <w:rsid w:val="00CB0F87"/>
    <w:rsid w:val="00CC23EB"/>
    <w:rsid w:val="00CC3D3D"/>
    <w:rsid w:val="00CD00F0"/>
    <w:rsid w:val="00CD431F"/>
    <w:rsid w:val="00CE12FB"/>
    <w:rsid w:val="00CE4753"/>
    <w:rsid w:val="00CE7A48"/>
    <w:rsid w:val="00CF026C"/>
    <w:rsid w:val="00CF33CA"/>
    <w:rsid w:val="00CF3D33"/>
    <w:rsid w:val="00CF6AE1"/>
    <w:rsid w:val="00D120A1"/>
    <w:rsid w:val="00D16E47"/>
    <w:rsid w:val="00D2088F"/>
    <w:rsid w:val="00D234A5"/>
    <w:rsid w:val="00D33239"/>
    <w:rsid w:val="00D33842"/>
    <w:rsid w:val="00D55DB1"/>
    <w:rsid w:val="00D5721A"/>
    <w:rsid w:val="00D60490"/>
    <w:rsid w:val="00D72CB7"/>
    <w:rsid w:val="00D73EB0"/>
    <w:rsid w:val="00D7419B"/>
    <w:rsid w:val="00D800FE"/>
    <w:rsid w:val="00D836D1"/>
    <w:rsid w:val="00D8444F"/>
    <w:rsid w:val="00D870FC"/>
    <w:rsid w:val="00D90B80"/>
    <w:rsid w:val="00D90C10"/>
    <w:rsid w:val="00D92F38"/>
    <w:rsid w:val="00D93672"/>
    <w:rsid w:val="00D93C34"/>
    <w:rsid w:val="00DA4326"/>
    <w:rsid w:val="00DA4A56"/>
    <w:rsid w:val="00DA557F"/>
    <w:rsid w:val="00DB1479"/>
    <w:rsid w:val="00DB3E66"/>
    <w:rsid w:val="00DC3EBE"/>
    <w:rsid w:val="00DC5300"/>
    <w:rsid w:val="00DC6415"/>
    <w:rsid w:val="00DD1F1E"/>
    <w:rsid w:val="00DD3981"/>
    <w:rsid w:val="00DD510F"/>
    <w:rsid w:val="00DE100B"/>
    <w:rsid w:val="00DF113B"/>
    <w:rsid w:val="00E02FFD"/>
    <w:rsid w:val="00E0366D"/>
    <w:rsid w:val="00E044F4"/>
    <w:rsid w:val="00E070D8"/>
    <w:rsid w:val="00E10957"/>
    <w:rsid w:val="00E20BD9"/>
    <w:rsid w:val="00E24371"/>
    <w:rsid w:val="00E253FD"/>
    <w:rsid w:val="00E2550E"/>
    <w:rsid w:val="00E3573F"/>
    <w:rsid w:val="00E37EE5"/>
    <w:rsid w:val="00E41DBC"/>
    <w:rsid w:val="00E42805"/>
    <w:rsid w:val="00E438ED"/>
    <w:rsid w:val="00E50AE9"/>
    <w:rsid w:val="00E50CAB"/>
    <w:rsid w:val="00E54675"/>
    <w:rsid w:val="00E609A0"/>
    <w:rsid w:val="00E74178"/>
    <w:rsid w:val="00E76A46"/>
    <w:rsid w:val="00E821D6"/>
    <w:rsid w:val="00E863FB"/>
    <w:rsid w:val="00E94764"/>
    <w:rsid w:val="00EA075F"/>
    <w:rsid w:val="00EA0D02"/>
    <w:rsid w:val="00EA3D9D"/>
    <w:rsid w:val="00EA428F"/>
    <w:rsid w:val="00EB376C"/>
    <w:rsid w:val="00EB4938"/>
    <w:rsid w:val="00ED5334"/>
    <w:rsid w:val="00ED5E1C"/>
    <w:rsid w:val="00EF27C8"/>
    <w:rsid w:val="00F0322D"/>
    <w:rsid w:val="00F05FBA"/>
    <w:rsid w:val="00F150E3"/>
    <w:rsid w:val="00F17410"/>
    <w:rsid w:val="00F21D38"/>
    <w:rsid w:val="00F21DA0"/>
    <w:rsid w:val="00F2524F"/>
    <w:rsid w:val="00F3091F"/>
    <w:rsid w:val="00F35D25"/>
    <w:rsid w:val="00F43440"/>
    <w:rsid w:val="00F53886"/>
    <w:rsid w:val="00F56D3D"/>
    <w:rsid w:val="00F6080A"/>
    <w:rsid w:val="00F70876"/>
    <w:rsid w:val="00F73752"/>
    <w:rsid w:val="00F74A76"/>
    <w:rsid w:val="00F75C4F"/>
    <w:rsid w:val="00F7725C"/>
    <w:rsid w:val="00F85C98"/>
    <w:rsid w:val="00F9496C"/>
    <w:rsid w:val="00F94F5A"/>
    <w:rsid w:val="00F96184"/>
    <w:rsid w:val="00F9674C"/>
    <w:rsid w:val="00FA1DBD"/>
    <w:rsid w:val="00FB08B7"/>
    <w:rsid w:val="00FB4697"/>
    <w:rsid w:val="00FD114B"/>
    <w:rsid w:val="00FD6558"/>
    <w:rsid w:val="00FE6382"/>
    <w:rsid w:val="00FF1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FE9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A9F"/>
    <w:pPr>
      <w:ind w:lef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A9F"/>
    <w:pPr>
      <w:ind w:left="720"/>
    </w:pPr>
    <w:rPr>
      <w:rFonts w:eastAsia="Calibri"/>
    </w:rPr>
  </w:style>
  <w:style w:type="paragraph" w:styleId="BalloonText">
    <w:name w:val="Balloon Text"/>
    <w:basedOn w:val="Normal"/>
    <w:link w:val="BalloonTextChar"/>
    <w:uiPriority w:val="99"/>
    <w:semiHidden/>
    <w:unhideWhenUsed/>
    <w:rsid w:val="00511A9F"/>
    <w:rPr>
      <w:rFonts w:ascii="Tahoma" w:hAnsi="Tahoma" w:cs="Tahoma"/>
      <w:sz w:val="16"/>
      <w:szCs w:val="16"/>
    </w:rPr>
  </w:style>
  <w:style w:type="character" w:customStyle="1" w:styleId="BalloonTextChar">
    <w:name w:val="Balloon Text Char"/>
    <w:basedOn w:val="DefaultParagraphFont"/>
    <w:link w:val="BalloonText"/>
    <w:uiPriority w:val="99"/>
    <w:semiHidden/>
    <w:rsid w:val="00511A9F"/>
    <w:rPr>
      <w:rFonts w:ascii="Tahoma" w:eastAsia="Times New Roman" w:hAnsi="Tahoma" w:cs="Tahoma"/>
      <w:sz w:val="16"/>
      <w:szCs w:val="16"/>
    </w:rPr>
  </w:style>
  <w:style w:type="character" w:styleId="Hyperlink">
    <w:name w:val="Hyperlink"/>
    <w:uiPriority w:val="99"/>
    <w:unhideWhenUsed/>
    <w:rsid w:val="0052666E"/>
    <w:rPr>
      <w:color w:val="0000FF"/>
      <w:u w:val="single"/>
    </w:rPr>
  </w:style>
  <w:style w:type="paragraph" w:styleId="NormalWeb">
    <w:name w:val="Normal (Web)"/>
    <w:basedOn w:val="Normal"/>
    <w:uiPriority w:val="99"/>
    <w:semiHidden/>
    <w:unhideWhenUsed/>
    <w:rsid w:val="0052666E"/>
    <w:pPr>
      <w:spacing w:before="100" w:beforeAutospacing="1" w:after="100" w:afterAutospacing="1"/>
    </w:pPr>
  </w:style>
  <w:style w:type="character" w:customStyle="1" w:styleId="apple-converted-space">
    <w:name w:val="apple-converted-space"/>
    <w:basedOn w:val="DefaultParagraphFont"/>
    <w:rsid w:val="0052666E"/>
  </w:style>
  <w:style w:type="character" w:styleId="Emphasis">
    <w:name w:val="Emphasis"/>
    <w:basedOn w:val="DefaultParagraphFont"/>
    <w:uiPriority w:val="20"/>
    <w:qFormat/>
    <w:rsid w:val="0052666E"/>
    <w:rPr>
      <w:i/>
      <w:iCs/>
    </w:rPr>
  </w:style>
  <w:style w:type="paragraph" w:styleId="Header">
    <w:name w:val="header"/>
    <w:basedOn w:val="Normal"/>
    <w:link w:val="HeaderChar"/>
    <w:uiPriority w:val="99"/>
    <w:unhideWhenUsed/>
    <w:rsid w:val="009F090C"/>
    <w:pPr>
      <w:tabs>
        <w:tab w:val="center" w:pos="4680"/>
        <w:tab w:val="right" w:pos="9360"/>
      </w:tabs>
    </w:pPr>
  </w:style>
  <w:style w:type="character" w:customStyle="1" w:styleId="HeaderChar">
    <w:name w:val="Header Char"/>
    <w:basedOn w:val="DefaultParagraphFont"/>
    <w:link w:val="Header"/>
    <w:uiPriority w:val="99"/>
    <w:rsid w:val="009F09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090C"/>
    <w:pPr>
      <w:tabs>
        <w:tab w:val="center" w:pos="4680"/>
        <w:tab w:val="right" w:pos="9360"/>
      </w:tabs>
    </w:pPr>
  </w:style>
  <w:style w:type="character" w:customStyle="1" w:styleId="FooterChar">
    <w:name w:val="Footer Char"/>
    <w:basedOn w:val="DefaultParagraphFont"/>
    <w:link w:val="Footer"/>
    <w:uiPriority w:val="99"/>
    <w:rsid w:val="009F090C"/>
    <w:rPr>
      <w:rFonts w:ascii="Times New Roman" w:eastAsia="Times New Roman" w:hAnsi="Times New Roman" w:cs="Times New Roman"/>
      <w:sz w:val="24"/>
      <w:szCs w:val="24"/>
    </w:rPr>
  </w:style>
  <w:style w:type="table" w:styleId="TableGrid">
    <w:name w:val="Table Grid"/>
    <w:basedOn w:val="TableNormal"/>
    <w:uiPriority w:val="59"/>
    <w:rsid w:val="00747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
    <w:name w:val="MemoHead"/>
    <w:basedOn w:val="Normal"/>
    <w:next w:val="Normal"/>
    <w:rsid w:val="007D5108"/>
    <w:pPr>
      <w:tabs>
        <w:tab w:val="left" w:pos="1195"/>
        <w:tab w:val="right" w:pos="9360"/>
      </w:tabs>
      <w:suppressAutoHyphens/>
    </w:pPr>
    <w:rPr>
      <w:sz w:val="22"/>
      <w:szCs w:val="20"/>
    </w:rPr>
  </w:style>
  <w:style w:type="paragraph" w:styleId="PlainText">
    <w:name w:val="Plain Text"/>
    <w:basedOn w:val="Normal"/>
    <w:link w:val="PlainTextChar"/>
    <w:uiPriority w:val="99"/>
    <w:semiHidden/>
    <w:unhideWhenUsed/>
    <w:rsid w:val="00812B7F"/>
    <w:rPr>
      <w:rFonts w:ascii="Maiandra GD" w:eastAsiaTheme="minorHAnsi" w:hAnsi="Maiandra GD" w:cstheme="minorBidi"/>
      <w:sz w:val="22"/>
      <w:szCs w:val="21"/>
    </w:rPr>
  </w:style>
  <w:style w:type="character" w:customStyle="1" w:styleId="PlainTextChar">
    <w:name w:val="Plain Text Char"/>
    <w:basedOn w:val="DefaultParagraphFont"/>
    <w:link w:val="PlainText"/>
    <w:uiPriority w:val="99"/>
    <w:semiHidden/>
    <w:rsid w:val="00812B7F"/>
    <w:rPr>
      <w:rFonts w:ascii="Maiandra GD" w:hAnsi="Maiandra GD"/>
      <w:szCs w:val="21"/>
    </w:rPr>
  </w:style>
  <w:style w:type="character" w:styleId="CommentReference">
    <w:name w:val="annotation reference"/>
    <w:basedOn w:val="DefaultParagraphFont"/>
    <w:uiPriority w:val="99"/>
    <w:semiHidden/>
    <w:unhideWhenUsed/>
    <w:rsid w:val="004E040C"/>
    <w:rPr>
      <w:sz w:val="16"/>
      <w:szCs w:val="16"/>
    </w:rPr>
  </w:style>
  <w:style w:type="paragraph" w:styleId="CommentText">
    <w:name w:val="annotation text"/>
    <w:basedOn w:val="Normal"/>
    <w:link w:val="CommentTextChar"/>
    <w:uiPriority w:val="99"/>
    <w:semiHidden/>
    <w:unhideWhenUsed/>
    <w:rsid w:val="004E040C"/>
    <w:rPr>
      <w:sz w:val="20"/>
      <w:szCs w:val="20"/>
    </w:rPr>
  </w:style>
  <w:style w:type="character" w:customStyle="1" w:styleId="CommentTextChar">
    <w:name w:val="Comment Text Char"/>
    <w:basedOn w:val="DefaultParagraphFont"/>
    <w:link w:val="CommentText"/>
    <w:uiPriority w:val="99"/>
    <w:semiHidden/>
    <w:rsid w:val="004E04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040C"/>
    <w:rPr>
      <w:b/>
      <w:bCs/>
    </w:rPr>
  </w:style>
  <w:style w:type="character" w:customStyle="1" w:styleId="CommentSubjectChar">
    <w:name w:val="Comment Subject Char"/>
    <w:basedOn w:val="CommentTextChar"/>
    <w:link w:val="CommentSubject"/>
    <w:uiPriority w:val="99"/>
    <w:semiHidden/>
    <w:rsid w:val="004E040C"/>
    <w:rPr>
      <w:rFonts w:ascii="Times New Roman" w:eastAsia="Times New Roman" w:hAnsi="Times New Roman" w:cs="Times New Roman"/>
      <w:b/>
      <w:bCs/>
      <w:sz w:val="20"/>
      <w:szCs w:val="20"/>
    </w:rPr>
  </w:style>
  <w:style w:type="paragraph" w:styleId="Revision">
    <w:name w:val="Revision"/>
    <w:hidden/>
    <w:uiPriority w:val="99"/>
    <w:semiHidden/>
    <w:rsid w:val="00D234A5"/>
    <w:pPr>
      <w:ind w:left="0"/>
    </w:pPr>
    <w:rPr>
      <w:rFonts w:ascii="Times New Roman" w:eastAsia="Times New Roman" w:hAnsi="Times New Roman" w:cs="Times New Roman"/>
      <w:sz w:val="24"/>
      <w:szCs w:val="24"/>
    </w:rPr>
  </w:style>
  <w:style w:type="paragraph" w:customStyle="1" w:styleId="ColorfulList-Accent11">
    <w:name w:val="Colorful List - Accent 11"/>
    <w:basedOn w:val="Normal"/>
    <w:uiPriority w:val="99"/>
    <w:rsid w:val="007E7E47"/>
    <w:pPr>
      <w:ind w:left="720"/>
      <w:contextualSpacing/>
    </w:pPr>
    <w:rPr>
      <w:rFonts w:ascii="Cambria" w:hAnsi="Cambria"/>
    </w:rPr>
  </w:style>
  <w:style w:type="character" w:styleId="Strong">
    <w:name w:val="Strong"/>
    <w:basedOn w:val="DefaultParagraphFont"/>
    <w:uiPriority w:val="22"/>
    <w:qFormat/>
    <w:rsid w:val="00B167B2"/>
    <w:rPr>
      <w:b/>
      <w:bCs/>
    </w:rPr>
  </w:style>
  <w:style w:type="paragraph" w:styleId="FootnoteText">
    <w:name w:val="footnote text"/>
    <w:basedOn w:val="Normal"/>
    <w:link w:val="FootnoteTextChar"/>
    <w:uiPriority w:val="99"/>
    <w:semiHidden/>
    <w:unhideWhenUsed/>
    <w:rsid w:val="003066F3"/>
    <w:rPr>
      <w:sz w:val="20"/>
      <w:szCs w:val="20"/>
    </w:rPr>
  </w:style>
  <w:style w:type="character" w:customStyle="1" w:styleId="FootnoteTextChar">
    <w:name w:val="Footnote Text Char"/>
    <w:basedOn w:val="DefaultParagraphFont"/>
    <w:link w:val="FootnoteText"/>
    <w:uiPriority w:val="99"/>
    <w:semiHidden/>
    <w:rsid w:val="003066F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066F3"/>
    <w:rPr>
      <w:vertAlign w:val="superscript"/>
    </w:rPr>
  </w:style>
  <w:style w:type="paragraph" w:styleId="NoSpacing">
    <w:name w:val="No Spacing"/>
    <w:uiPriority w:val="1"/>
    <w:qFormat/>
    <w:rsid w:val="00410057"/>
    <w:pPr>
      <w:ind w:left="0"/>
    </w:pPr>
    <w:rPr>
      <w:rFonts w:ascii="Times New Roman" w:eastAsia="Times New Roman" w:hAnsi="Times New Roman" w:cs="Times New Roman"/>
      <w:sz w:val="24"/>
      <w:szCs w:val="24"/>
    </w:rPr>
  </w:style>
  <w:style w:type="character" w:styleId="IntenseEmphasis">
    <w:name w:val="Intense Emphasis"/>
    <w:basedOn w:val="DefaultParagraphFont"/>
    <w:uiPriority w:val="21"/>
    <w:qFormat/>
    <w:rsid w:val="001C6832"/>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A9F"/>
    <w:pPr>
      <w:ind w:lef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A9F"/>
    <w:pPr>
      <w:ind w:left="720"/>
    </w:pPr>
    <w:rPr>
      <w:rFonts w:eastAsia="Calibri"/>
    </w:rPr>
  </w:style>
  <w:style w:type="paragraph" w:styleId="BalloonText">
    <w:name w:val="Balloon Text"/>
    <w:basedOn w:val="Normal"/>
    <w:link w:val="BalloonTextChar"/>
    <w:uiPriority w:val="99"/>
    <w:semiHidden/>
    <w:unhideWhenUsed/>
    <w:rsid w:val="00511A9F"/>
    <w:rPr>
      <w:rFonts w:ascii="Tahoma" w:hAnsi="Tahoma" w:cs="Tahoma"/>
      <w:sz w:val="16"/>
      <w:szCs w:val="16"/>
    </w:rPr>
  </w:style>
  <w:style w:type="character" w:customStyle="1" w:styleId="BalloonTextChar">
    <w:name w:val="Balloon Text Char"/>
    <w:basedOn w:val="DefaultParagraphFont"/>
    <w:link w:val="BalloonText"/>
    <w:uiPriority w:val="99"/>
    <w:semiHidden/>
    <w:rsid w:val="00511A9F"/>
    <w:rPr>
      <w:rFonts w:ascii="Tahoma" w:eastAsia="Times New Roman" w:hAnsi="Tahoma" w:cs="Tahoma"/>
      <w:sz w:val="16"/>
      <w:szCs w:val="16"/>
    </w:rPr>
  </w:style>
  <w:style w:type="character" w:styleId="Hyperlink">
    <w:name w:val="Hyperlink"/>
    <w:uiPriority w:val="99"/>
    <w:unhideWhenUsed/>
    <w:rsid w:val="0052666E"/>
    <w:rPr>
      <w:color w:val="0000FF"/>
      <w:u w:val="single"/>
    </w:rPr>
  </w:style>
  <w:style w:type="paragraph" w:styleId="NormalWeb">
    <w:name w:val="Normal (Web)"/>
    <w:basedOn w:val="Normal"/>
    <w:uiPriority w:val="99"/>
    <w:semiHidden/>
    <w:unhideWhenUsed/>
    <w:rsid w:val="0052666E"/>
    <w:pPr>
      <w:spacing w:before="100" w:beforeAutospacing="1" w:after="100" w:afterAutospacing="1"/>
    </w:pPr>
  </w:style>
  <w:style w:type="character" w:customStyle="1" w:styleId="apple-converted-space">
    <w:name w:val="apple-converted-space"/>
    <w:basedOn w:val="DefaultParagraphFont"/>
    <w:rsid w:val="0052666E"/>
  </w:style>
  <w:style w:type="character" w:styleId="Emphasis">
    <w:name w:val="Emphasis"/>
    <w:basedOn w:val="DefaultParagraphFont"/>
    <w:uiPriority w:val="20"/>
    <w:qFormat/>
    <w:rsid w:val="0052666E"/>
    <w:rPr>
      <w:i/>
      <w:iCs/>
    </w:rPr>
  </w:style>
  <w:style w:type="paragraph" w:styleId="Header">
    <w:name w:val="header"/>
    <w:basedOn w:val="Normal"/>
    <w:link w:val="HeaderChar"/>
    <w:uiPriority w:val="99"/>
    <w:unhideWhenUsed/>
    <w:rsid w:val="009F090C"/>
    <w:pPr>
      <w:tabs>
        <w:tab w:val="center" w:pos="4680"/>
        <w:tab w:val="right" w:pos="9360"/>
      </w:tabs>
    </w:pPr>
  </w:style>
  <w:style w:type="character" w:customStyle="1" w:styleId="HeaderChar">
    <w:name w:val="Header Char"/>
    <w:basedOn w:val="DefaultParagraphFont"/>
    <w:link w:val="Header"/>
    <w:uiPriority w:val="99"/>
    <w:rsid w:val="009F09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090C"/>
    <w:pPr>
      <w:tabs>
        <w:tab w:val="center" w:pos="4680"/>
        <w:tab w:val="right" w:pos="9360"/>
      </w:tabs>
    </w:pPr>
  </w:style>
  <w:style w:type="character" w:customStyle="1" w:styleId="FooterChar">
    <w:name w:val="Footer Char"/>
    <w:basedOn w:val="DefaultParagraphFont"/>
    <w:link w:val="Footer"/>
    <w:uiPriority w:val="99"/>
    <w:rsid w:val="009F090C"/>
    <w:rPr>
      <w:rFonts w:ascii="Times New Roman" w:eastAsia="Times New Roman" w:hAnsi="Times New Roman" w:cs="Times New Roman"/>
      <w:sz w:val="24"/>
      <w:szCs w:val="24"/>
    </w:rPr>
  </w:style>
  <w:style w:type="table" w:styleId="TableGrid">
    <w:name w:val="Table Grid"/>
    <w:basedOn w:val="TableNormal"/>
    <w:uiPriority w:val="59"/>
    <w:rsid w:val="00747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
    <w:name w:val="MemoHead"/>
    <w:basedOn w:val="Normal"/>
    <w:next w:val="Normal"/>
    <w:rsid w:val="007D5108"/>
    <w:pPr>
      <w:tabs>
        <w:tab w:val="left" w:pos="1195"/>
        <w:tab w:val="right" w:pos="9360"/>
      </w:tabs>
      <w:suppressAutoHyphens/>
    </w:pPr>
    <w:rPr>
      <w:sz w:val="22"/>
      <w:szCs w:val="20"/>
    </w:rPr>
  </w:style>
  <w:style w:type="paragraph" w:styleId="PlainText">
    <w:name w:val="Plain Text"/>
    <w:basedOn w:val="Normal"/>
    <w:link w:val="PlainTextChar"/>
    <w:uiPriority w:val="99"/>
    <w:semiHidden/>
    <w:unhideWhenUsed/>
    <w:rsid w:val="00812B7F"/>
    <w:rPr>
      <w:rFonts w:ascii="Maiandra GD" w:eastAsiaTheme="minorHAnsi" w:hAnsi="Maiandra GD" w:cstheme="minorBidi"/>
      <w:sz w:val="22"/>
      <w:szCs w:val="21"/>
    </w:rPr>
  </w:style>
  <w:style w:type="character" w:customStyle="1" w:styleId="PlainTextChar">
    <w:name w:val="Plain Text Char"/>
    <w:basedOn w:val="DefaultParagraphFont"/>
    <w:link w:val="PlainText"/>
    <w:uiPriority w:val="99"/>
    <w:semiHidden/>
    <w:rsid w:val="00812B7F"/>
    <w:rPr>
      <w:rFonts w:ascii="Maiandra GD" w:hAnsi="Maiandra GD"/>
      <w:szCs w:val="21"/>
    </w:rPr>
  </w:style>
  <w:style w:type="character" w:styleId="CommentReference">
    <w:name w:val="annotation reference"/>
    <w:basedOn w:val="DefaultParagraphFont"/>
    <w:uiPriority w:val="99"/>
    <w:semiHidden/>
    <w:unhideWhenUsed/>
    <w:rsid w:val="004E040C"/>
    <w:rPr>
      <w:sz w:val="16"/>
      <w:szCs w:val="16"/>
    </w:rPr>
  </w:style>
  <w:style w:type="paragraph" w:styleId="CommentText">
    <w:name w:val="annotation text"/>
    <w:basedOn w:val="Normal"/>
    <w:link w:val="CommentTextChar"/>
    <w:uiPriority w:val="99"/>
    <w:semiHidden/>
    <w:unhideWhenUsed/>
    <w:rsid w:val="004E040C"/>
    <w:rPr>
      <w:sz w:val="20"/>
      <w:szCs w:val="20"/>
    </w:rPr>
  </w:style>
  <w:style w:type="character" w:customStyle="1" w:styleId="CommentTextChar">
    <w:name w:val="Comment Text Char"/>
    <w:basedOn w:val="DefaultParagraphFont"/>
    <w:link w:val="CommentText"/>
    <w:uiPriority w:val="99"/>
    <w:semiHidden/>
    <w:rsid w:val="004E04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040C"/>
    <w:rPr>
      <w:b/>
      <w:bCs/>
    </w:rPr>
  </w:style>
  <w:style w:type="character" w:customStyle="1" w:styleId="CommentSubjectChar">
    <w:name w:val="Comment Subject Char"/>
    <w:basedOn w:val="CommentTextChar"/>
    <w:link w:val="CommentSubject"/>
    <w:uiPriority w:val="99"/>
    <w:semiHidden/>
    <w:rsid w:val="004E040C"/>
    <w:rPr>
      <w:rFonts w:ascii="Times New Roman" w:eastAsia="Times New Roman" w:hAnsi="Times New Roman" w:cs="Times New Roman"/>
      <w:b/>
      <w:bCs/>
      <w:sz w:val="20"/>
      <w:szCs w:val="20"/>
    </w:rPr>
  </w:style>
  <w:style w:type="paragraph" w:styleId="Revision">
    <w:name w:val="Revision"/>
    <w:hidden/>
    <w:uiPriority w:val="99"/>
    <w:semiHidden/>
    <w:rsid w:val="00D234A5"/>
    <w:pPr>
      <w:ind w:left="0"/>
    </w:pPr>
    <w:rPr>
      <w:rFonts w:ascii="Times New Roman" w:eastAsia="Times New Roman" w:hAnsi="Times New Roman" w:cs="Times New Roman"/>
      <w:sz w:val="24"/>
      <w:szCs w:val="24"/>
    </w:rPr>
  </w:style>
  <w:style w:type="paragraph" w:customStyle="1" w:styleId="ColorfulList-Accent11">
    <w:name w:val="Colorful List - Accent 11"/>
    <w:basedOn w:val="Normal"/>
    <w:uiPriority w:val="99"/>
    <w:rsid w:val="007E7E47"/>
    <w:pPr>
      <w:ind w:left="720"/>
      <w:contextualSpacing/>
    </w:pPr>
    <w:rPr>
      <w:rFonts w:ascii="Cambria" w:hAnsi="Cambria"/>
    </w:rPr>
  </w:style>
  <w:style w:type="character" w:styleId="Strong">
    <w:name w:val="Strong"/>
    <w:basedOn w:val="DefaultParagraphFont"/>
    <w:uiPriority w:val="22"/>
    <w:qFormat/>
    <w:rsid w:val="00B167B2"/>
    <w:rPr>
      <w:b/>
      <w:bCs/>
    </w:rPr>
  </w:style>
  <w:style w:type="paragraph" w:styleId="FootnoteText">
    <w:name w:val="footnote text"/>
    <w:basedOn w:val="Normal"/>
    <w:link w:val="FootnoteTextChar"/>
    <w:uiPriority w:val="99"/>
    <w:semiHidden/>
    <w:unhideWhenUsed/>
    <w:rsid w:val="003066F3"/>
    <w:rPr>
      <w:sz w:val="20"/>
      <w:szCs w:val="20"/>
    </w:rPr>
  </w:style>
  <w:style w:type="character" w:customStyle="1" w:styleId="FootnoteTextChar">
    <w:name w:val="Footnote Text Char"/>
    <w:basedOn w:val="DefaultParagraphFont"/>
    <w:link w:val="FootnoteText"/>
    <w:uiPriority w:val="99"/>
    <w:semiHidden/>
    <w:rsid w:val="003066F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066F3"/>
    <w:rPr>
      <w:vertAlign w:val="superscript"/>
    </w:rPr>
  </w:style>
  <w:style w:type="paragraph" w:styleId="NoSpacing">
    <w:name w:val="No Spacing"/>
    <w:uiPriority w:val="1"/>
    <w:qFormat/>
    <w:rsid w:val="00410057"/>
    <w:pPr>
      <w:ind w:left="0"/>
    </w:pPr>
    <w:rPr>
      <w:rFonts w:ascii="Times New Roman" w:eastAsia="Times New Roman" w:hAnsi="Times New Roman" w:cs="Times New Roman"/>
      <w:sz w:val="24"/>
      <w:szCs w:val="24"/>
    </w:rPr>
  </w:style>
  <w:style w:type="character" w:styleId="IntenseEmphasis">
    <w:name w:val="Intense Emphasis"/>
    <w:basedOn w:val="DefaultParagraphFont"/>
    <w:uiPriority w:val="21"/>
    <w:qFormat/>
    <w:rsid w:val="001C6832"/>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39618">
      <w:bodyDiv w:val="1"/>
      <w:marLeft w:val="0"/>
      <w:marRight w:val="0"/>
      <w:marTop w:val="0"/>
      <w:marBottom w:val="0"/>
      <w:divBdr>
        <w:top w:val="none" w:sz="0" w:space="0" w:color="auto"/>
        <w:left w:val="none" w:sz="0" w:space="0" w:color="auto"/>
        <w:bottom w:val="none" w:sz="0" w:space="0" w:color="auto"/>
        <w:right w:val="none" w:sz="0" w:space="0" w:color="auto"/>
      </w:divBdr>
    </w:div>
    <w:div w:id="229115404">
      <w:bodyDiv w:val="1"/>
      <w:marLeft w:val="0"/>
      <w:marRight w:val="0"/>
      <w:marTop w:val="0"/>
      <w:marBottom w:val="0"/>
      <w:divBdr>
        <w:top w:val="none" w:sz="0" w:space="0" w:color="auto"/>
        <w:left w:val="none" w:sz="0" w:space="0" w:color="auto"/>
        <w:bottom w:val="none" w:sz="0" w:space="0" w:color="auto"/>
        <w:right w:val="none" w:sz="0" w:space="0" w:color="auto"/>
      </w:divBdr>
    </w:div>
    <w:div w:id="485635424">
      <w:bodyDiv w:val="1"/>
      <w:marLeft w:val="0"/>
      <w:marRight w:val="0"/>
      <w:marTop w:val="0"/>
      <w:marBottom w:val="0"/>
      <w:divBdr>
        <w:top w:val="none" w:sz="0" w:space="0" w:color="auto"/>
        <w:left w:val="none" w:sz="0" w:space="0" w:color="auto"/>
        <w:bottom w:val="none" w:sz="0" w:space="0" w:color="auto"/>
        <w:right w:val="none" w:sz="0" w:space="0" w:color="auto"/>
      </w:divBdr>
    </w:div>
    <w:div w:id="613749021">
      <w:bodyDiv w:val="1"/>
      <w:marLeft w:val="0"/>
      <w:marRight w:val="0"/>
      <w:marTop w:val="0"/>
      <w:marBottom w:val="0"/>
      <w:divBdr>
        <w:top w:val="none" w:sz="0" w:space="0" w:color="auto"/>
        <w:left w:val="none" w:sz="0" w:space="0" w:color="auto"/>
        <w:bottom w:val="none" w:sz="0" w:space="0" w:color="auto"/>
        <w:right w:val="none" w:sz="0" w:space="0" w:color="auto"/>
      </w:divBdr>
    </w:div>
    <w:div w:id="929238908">
      <w:bodyDiv w:val="1"/>
      <w:marLeft w:val="0"/>
      <w:marRight w:val="0"/>
      <w:marTop w:val="0"/>
      <w:marBottom w:val="0"/>
      <w:divBdr>
        <w:top w:val="none" w:sz="0" w:space="0" w:color="auto"/>
        <w:left w:val="none" w:sz="0" w:space="0" w:color="auto"/>
        <w:bottom w:val="none" w:sz="0" w:space="0" w:color="auto"/>
        <w:right w:val="none" w:sz="0" w:space="0" w:color="auto"/>
      </w:divBdr>
    </w:div>
    <w:div w:id="1034305820">
      <w:bodyDiv w:val="1"/>
      <w:marLeft w:val="0"/>
      <w:marRight w:val="0"/>
      <w:marTop w:val="0"/>
      <w:marBottom w:val="0"/>
      <w:divBdr>
        <w:top w:val="none" w:sz="0" w:space="0" w:color="auto"/>
        <w:left w:val="none" w:sz="0" w:space="0" w:color="auto"/>
        <w:bottom w:val="none" w:sz="0" w:space="0" w:color="auto"/>
        <w:right w:val="none" w:sz="0" w:space="0" w:color="auto"/>
      </w:divBdr>
    </w:div>
    <w:div w:id="1165437035">
      <w:bodyDiv w:val="1"/>
      <w:marLeft w:val="0"/>
      <w:marRight w:val="0"/>
      <w:marTop w:val="0"/>
      <w:marBottom w:val="0"/>
      <w:divBdr>
        <w:top w:val="none" w:sz="0" w:space="0" w:color="auto"/>
        <w:left w:val="none" w:sz="0" w:space="0" w:color="auto"/>
        <w:bottom w:val="none" w:sz="0" w:space="0" w:color="auto"/>
        <w:right w:val="none" w:sz="0" w:space="0" w:color="auto"/>
      </w:divBdr>
    </w:div>
    <w:div w:id="1304234671">
      <w:bodyDiv w:val="1"/>
      <w:marLeft w:val="0"/>
      <w:marRight w:val="0"/>
      <w:marTop w:val="0"/>
      <w:marBottom w:val="0"/>
      <w:divBdr>
        <w:top w:val="none" w:sz="0" w:space="0" w:color="auto"/>
        <w:left w:val="none" w:sz="0" w:space="0" w:color="auto"/>
        <w:bottom w:val="none" w:sz="0" w:space="0" w:color="auto"/>
        <w:right w:val="none" w:sz="0" w:space="0" w:color="auto"/>
      </w:divBdr>
    </w:div>
    <w:div w:id="1341928541">
      <w:bodyDiv w:val="1"/>
      <w:marLeft w:val="0"/>
      <w:marRight w:val="0"/>
      <w:marTop w:val="0"/>
      <w:marBottom w:val="0"/>
      <w:divBdr>
        <w:top w:val="none" w:sz="0" w:space="0" w:color="auto"/>
        <w:left w:val="none" w:sz="0" w:space="0" w:color="auto"/>
        <w:bottom w:val="none" w:sz="0" w:space="0" w:color="auto"/>
        <w:right w:val="none" w:sz="0" w:space="0" w:color="auto"/>
      </w:divBdr>
    </w:div>
    <w:div w:id="1500077621">
      <w:bodyDiv w:val="1"/>
      <w:marLeft w:val="0"/>
      <w:marRight w:val="0"/>
      <w:marTop w:val="0"/>
      <w:marBottom w:val="0"/>
      <w:divBdr>
        <w:top w:val="none" w:sz="0" w:space="0" w:color="auto"/>
        <w:left w:val="none" w:sz="0" w:space="0" w:color="auto"/>
        <w:bottom w:val="none" w:sz="0" w:space="0" w:color="auto"/>
        <w:right w:val="none" w:sz="0" w:space="0" w:color="auto"/>
      </w:divBdr>
    </w:div>
    <w:div w:id="180469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cbi.nlm.nih.gov/pmc/articles/PMC4806640/pdf/peerj-04-183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esee@uwgb.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wolfa@uwgb.edu" TargetMode="External"/><Relationship Id="rId4" Type="http://schemas.microsoft.com/office/2007/relationships/stylesWithEffects" Target="stylesWithEffects.xml"/><Relationship Id="rId9" Type="http://schemas.openxmlformats.org/officeDocument/2006/relationships/hyperlink" Target="mailto:hower@uwgb.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5A9F2-191A-41F2-A69E-457BA7E1D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2121</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Overholt-dd</dc:creator>
  <cp:lastModifiedBy>Samuel Wettach</cp:lastModifiedBy>
  <cp:revision>5</cp:revision>
  <cp:lastPrinted>2016-08-25T14:22:00Z</cp:lastPrinted>
  <dcterms:created xsi:type="dcterms:W3CDTF">2016-11-21T19:42:00Z</dcterms:created>
  <dcterms:modified xsi:type="dcterms:W3CDTF">2016-11-22T16:59:00Z</dcterms:modified>
</cp:coreProperties>
</file>