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C9" w:rsidRDefault="009D5DC9" w:rsidP="009D5DC9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9D5DC9" w:rsidRPr="009D5DC9" w:rsidRDefault="009D5DC9" w:rsidP="009D5DC9">
      <w:pPr>
        <w:pBdr>
          <w:bottom w:val="single" w:sz="4" w:space="1" w:color="auto"/>
        </w:pBdr>
        <w:jc w:val="center"/>
        <w:rPr>
          <w:b/>
          <w:sz w:val="28"/>
        </w:rPr>
      </w:pPr>
      <w:r w:rsidRPr="009D5DC9">
        <w:rPr>
          <w:b/>
          <w:sz w:val="28"/>
        </w:rPr>
        <w:t>Scope of Work</w:t>
      </w:r>
    </w:p>
    <w:p w:rsidR="009D5DC9" w:rsidRDefault="00CF7FC6" w:rsidP="009D5DC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Wisconsin DNR Office of the Great </w:t>
      </w:r>
      <w:r w:rsidR="009D5DC9">
        <w:rPr>
          <w:b/>
        </w:rPr>
        <w:t>Waters</w:t>
      </w:r>
    </w:p>
    <w:p w:rsidR="004A12F7" w:rsidRDefault="004A12F7" w:rsidP="004A12F7"/>
    <w:p w:rsidR="00643015" w:rsidRPr="007B4665" w:rsidRDefault="004A12F7" w:rsidP="004A12F7">
      <w:r w:rsidRPr="00B55289">
        <w:rPr>
          <w:b/>
          <w:i/>
        </w:rPr>
        <w:t>Project Title:</w:t>
      </w:r>
      <w:r w:rsidR="007B4665">
        <w:t xml:space="preserve"> </w:t>
      </w:r>
      <w:r w:rsidR="007B4665" w:rsidRPr="0003213D">
        <w:rPr>
          <w:bCs/>
          <w:iCs/>
        </w:rPr>
        <w:t xml:space="preserve">Barkers Island </w:t>
      </w:r>
      <w:r w:rsidR="00725970">
        <w:rPr>
          <w:bCs/>
          <w:iCs/>
        </w:rPr>
        <w:t xml:space="preserve">Inner </w:t>
      </w:r>
      <w:r w:rsidR="007B4665" w:rsidRPr="0003213D">
        <w:rPr>
          <w:bCs/>
          <w:iCs/>
        </w:rPr>
        <w:t>Beach Restoration Project</w:t>
      </w:r>
    </w:p>
    <w:p w:rsidR="00643015" w:rsidRDefault="00643015" w:rsidP="004A12F7">
      <w:pPr>
        <w:rPr>
          <w:b/>
          <w:i/>
        </w:rPr>
      </w:pPr>
    </w:p>
    <w:p w:rsidR="00643015" w:rsidRDefault="00643015" w:rsidP="004A12F7">
      <w:pPr>
        <w:rPr>
          <w:b/>
          <w:i/>
        </w:rPr>
      </w:pPr>
      <w:r>
        <w:rPr>
          <w:b/>
          <w:i/>
        </w:rPr>
        <w:t>AOC(s):</w:t>
      </w:r>
      <w:r w:rsidR="007B4665" w:rsidRPr="007B4665">
        <w:t xml:space="preserve"> </w:t>
      </w:r>
      <w:r w:rsidR="007B4665" w:rsidRPr="0003213D">
        <w:t xml:space="preserve">St. Louis River </w:t>
      </w:r>
      <w:r w:rsidR="007B4665">
        <w:t>Estuary</w:t>
      </w:r>
    </w:p>
    <w:p w:rsidR="004A12F7" w:rsidRDefault="004A12F7" w:rsidP="004A12F7"/>
    <w:p w:rsidR="007B4665" w:rsidRPr="00F3451C" w:rsidRDefault="004A12F7" w:rsidP="00CD0A6D">
      <w:pPr>
        <w:pStyle w:val="Default"/>
        <w:rPr>
          <w:szCs w:val="22"/>
        </w:rPr>
      </w:pPr>
      <w:r>
        <w:rPr>
          <w:b/>
          <w:i/>
        </w:rPr>
        <w:t>Project Applicant:</w:t>
      </w:r>
      <w:r w:rsidR="003705E4" w:rsidRPr="003705E4">
        <w:rPr>
          <w:sz w:val="22"/>
          <w:szCs w:val="22"/>
        </w:rPr>
        <w:t xml:space="preserve"> </w:t>
      </w:r>
      <w:r w:rsidR="007B4665">
        <w:rPr>
          <w:sz w:val="22"/>
          <w:szCs w:val="22"/>
        </w:rPr>
        <w:tab/>
      </w:r>
      <w:r w:rsidR="007B4665" w:rsidRPr="00F3451C">
        <w:rPr>
          <w:szCs w:val="22"/>
        </w:rPr>
        <w:t>City of Superior</w:t>
      </w:r>
    </w:p>
    <w:p w:rsidR="007B4665" w:rsidRPr="00F3451C" w:rsidRDefault="007B4665" w:rsidP="00CD0A6D">
      <w:pPr>
        <w:pStyle w:val="Default"/>
        <w:rPr>
          <w:szCs w:val="22"/>
        </w:rPr>
      </w:pPr>
      <w:r w:rsidRPr="00F3451C">
        <w:rPr>
          <w:szCs w:val="22"/>
        </w:rPr>
        <w:tab/>
      </w:r>
      <w:r w:rsidRPr="00F3451C">
        <w:rPr>
          <w:szCs w:val="22"/>
        </w:rPr>
        <w:tab/>
      </w:r>
      <w:r w:rsidRPr="00F3451C">
        <w:rPr>
          <w:szCs w:val="22"/>
        </w:rPr>
        <w:tab/>
        <w:t xml:space="preserve">Linda </w:t>
      </w:r>
      <w:proofErr w:type="spellStart"/>
      <w:r w:rsidRPr="00F3451C">
        <w:rPr>
          <w:szCs w:val="22"/>
        </w:rPr>
        <w:t>Cadotte</w:t>
      </w:r>
      <w:proofErr w:type="spellEnd"/>
      <w:r w:rsidRPr="00F3451C">
        <w:rPr>
          <w:szCs w:val="22"/>
        </w:rPr>
        <w:t>; Director of Parks, Recreation and Forestry</w:t>
      </w:r>
    </w:p>
    <w:p w:rsidR="007B4665" w:rsidRPr="00F3451C" w:rsidRDefault="007B4665" w:rsidP="007B4665">
      <w:pPr>
        <w:pStyle w:val="Default"/>
        <w:ind w:left="2160"/>
        <w:rPr>
          <w:szCs w:val="22"/>
        </w:rPr>
      </w:pPr>
      <w:r w:rsidRPr="00F3451C">
        <w:rPr>
          <w:color w:val="2A2821"/>
          <w:szCs w:val="22"/>
          <w:lang w:val="en"/>
        </w:rPr>
        <w:t>1316 N. 14th St. Rm. 200</w:t>
      </w:r>
      <w:r w:rsidRPr="00F3451C">
        <w:rPr>
          <w:color w:val="2A2821"/>
          <w:szCs w:val="22"/>
          <w:lang w:val="en"/>
        </w:rPr>
        <w:br/>
        <w:t>Superior, WI 54880</w:t>
      </w:r>
    </w:p>
    <w:p w:rsidR="007B4665" w:rsidRPr="00F3451C" w:rsidRDefault="007B4665" w:rsidP="00CD0A6D">
      <w:pPr>
        <w:pStyle w:val="Default"/>
        <w:rPr>
          <w:szCs w:val="22"/>
        </w:rPr>
      </w:pPr>
      <w:r w:rsidRPr="00F3451C">
        <w:rPr>
          <w:szCs w:val="22"/>
        </w:rPr>
        <w:tab/>
      </w:r>
      <w:r w:rsidRPr="00F3451C">
        <w:rPr>
          <w:szCs w:val="22"/>
        </w:rPr>
        <w:tab/>
      </w:r>
      <w:r w:rsidRPr="00F3451C">
        <w:rPr>
          <w:szCs w:val="22"/>
        </w:rPr>
        <w:tab/>
        <w:t>715-395-7279</w:t>
      </w:r>
    </w:p>
    <w:p w:rsidR="007B4665" w:rsidRDefault="00153C00" w:rsidP="007B4665">
      <w:pPr>
        <w:pStyle w:val="Default"/>
        <w:ind w:left="1440" w:firstLine="720"/>
        <w:rPr>
          <w:szCs w:val="22"/>
        </w:rPr>
      </w:pPr>
      <w:hyperlink r:id="rId7" w:history="1">
        <w:r w:rsidR="007B4665" w:rsidRPr="00F3451C">
          <w:rPr>
            <w:rStyle w:val="Hyperlink"/>
            <w:szCs w:val="22"/>
          </w:rPr>
          <w:t>cadottel@ci.superior.wi.us</w:t>
        </w:r>
      </w:hyperlink>
    </w:p>
    <w:p w:rsidR="00DF3FE3" w:rsidRPr="00F3451C" w:rsidRDefault="00DF3FE3" w:rsidP="007B4665">
      <w:pPr>
        <w:pStyle w:val="Default"/>
        <w:ind w:left="1440" w:firstLine="720"/>
        <w:rPr>
          <w:szCs w:val="22"/>
        </w:rPr>
      </w:pPr>
    </w:p>
    <w:p w:rsidR="007B4665" w:rsidRPr="008666E5" w:rsidRDefault="00F3451C" w:rsidP="00CD0A6D">
      <w:pPr>
        <w:pStyle w:val="Default"/>
      </w:pPr>
      <w:r w:rsidRPr="00F3451C">
        <w:rPr>
          <w:b/>
          <w:i/>
          <w:szCs w:val="22"/>
        </w:rPr>
        <w:t>Fiscal Agent</w:t>
      </w:r>
      <w:r>
        <w:rPr>
          <w:b/>
          <w:i/>
          <w:szCs w:val="22"/>
        </w:rPr>
        <w:t>: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8666E5">
        <w:t>Jane Michael, City of Superior</w:t>
      </w:r>
      <w:r w:rsidR="008666E5" w:rsidRPr="008666E5">
        <w:t>, Contract Analyst</w:t>
      </w:r>
    </w:p>
    <w:p w:rsidR="00F3451C" w:rsidRPr="008666E5" w:rsidRDefault="00F3451C" w:rsidP="00CD0A6D">
      <w:pPr>
        <w:pStyle w:val="Default"/>
      </w:pPr>
      <w:r w:rsidRPr="008666E5">
        <w:tab/>
      </w:r>
      <w:r w:rsidRPr="008666E5">
        <w:tab/>
      </w:r>
      <w:r w:rsidRPr="008666E5">
        <w:tab/>
      </w:r>
      <w:r w:rsidR="008666E5" w:rsidRPr="008666E5">
        <w:t>1316 N. 14</w:t>
      </w:r>
      <w:r w:rsidR="008666E5" w:rsidRPr="008666E5">
        <w:rPr>
          <w:vertAlign w:val="superscript"/>
        </w:rPr>
        <w:t>th</w:t>
      </w:r>
      <w:r w:rsidR="008666E5" w:rsidRPr="008666E5">
        <w:t xml:space="preserve"> Street, Suite 245</w:t>
      </w:r>
    </w:p>
    <w:p w:rsidR="008666E5" w:rsidRPr="008666E5" w:rsidRDefault="008666E5" w:rsidP="00CD0A6D">
      <w:pPr>
        <w:pStyle w:val="Default"/>
      </w:pPr>
      <w:r w:rsidRPr="008666E5">
        <w:tab/>
      </w:r>
      <w:r w:rsidRPr="008666E5">
        <w:tab/>
      </w:r>
      <w:r w:rsidRPr="008666E5">
        <w:tab/>
        <w:t>Superior, WI 54880</w:t>
      </w:r>
    </w:p>
    <w:p w:rsidR="00CD0A6D" w:rsidRPr="008666E5" w:rsidRDefault="007B4665" w:rsidP="00CD0A6D">
      <w:pPr>
        <w:pStyle w:val="Default"/>
      </w:pPr>
      <w:r w:rsidRPr="008666E5">
        <w:tab/>
      </w:r>
      <w:r w:rsidR="008666E5" w:rsidRPr="008666E5">
        <w:tab/>
      </w:r>
      <w:r w:rsidR="008666E5" w:rsidRPr="008666E5">
        <w:tab/>
        <w:t>715-395-7557</w:t>
      </w:r>
    </w:p>
    <w:p w:rsidR="004A12F7" w:rsidRPr="008666E5" w:rsidRDefault="008666E5" w:rsidP="008666E5">
      <w:pPr>
        <w:pStyle w:val="Default"/>
      </w:pPr>
      <w:r w:rsidRPr="008666E5">
        <w:tab/>
      </w:r>
      <w:r w:rsidRPr="008666E5">
        <w:tab/>
      </w:r>
      <w:r w:rsidRPr="008666E5">
        <w:tab/>
      </w:r>
      <w:hyperlink r:id="rId8" w:history="1">
        <w:r w:rsidRPr="008666E5">
          <w:rPr>
            <w:rStyle w:val="Hyperlink"/>
          </w:rPr>
          <w:t>michelj@ci.superior.wi.us</w:t>
        </w:r>
      </w:hyperlink>
    </w:p>
    <w:p w:rsidR="008666E5" w:rsidRPr="008666E5" w:rsidRDefault="008666E5" w:rsidP="008666E5">
      <w:pPr>
        <w:pStyle w:val="Default"/>
        <w:rPr>
          <w:sz w:val="22"/>
          <w:szCs w:val="22"/>
        </w:rPr>
      </w:pPr>
    </w:p>
    <w:p w:rsidR="00CF6B20" w:rsidRDefault="009D5DC9" w:rsidP="00CF6B20">
      <w:pPr>
        <w:pStyle w:val="Default"/>
        <w:rPr>
          <w:sz w:val="22"/>
          <w:szCs w:val="22"/>
        </w:rPr>
      </w:pPr>
      <w:r>
        <w:rPr>
          <w:b/>
          <w:i/>
        </w:rPr>
        <w:t xml:space="preserve">WDNR </w:t>
      </w:r>
      <w:r w:rsidR="003705E4">
        <w:rPr>
          <w:b/>
          <w:i/>
        </w:rPr>
        <w:t>Project Manager</w:t>
      </w:r>
      <w:r w:rsidR="004A12F7">
        <w:rPr>
          <w:b/>
          <w:i/>
        </w:rPr>
        <w:t>:</w:t>
      </w:r>
      <w:r w:rsidR="003705E4">
        <w:rPr>
          <w:b/>
          <w:i/>
        </w:rPr>
        <w:tab/>
      </w:r>
    </w:p>
    <w:p w:rsidR="00CF6B20" w:rsidRDefault="00CF6B20" w:rsidP="00CF6B20">
      <w:pPr>
        <w:rPr>
          <w:rFonts w:eastAsiaTheme="minorHAnsi"/>
          <w:color w:val="000000"/>
          <w:sz w:val="22"/>
          <w:szCs w:val="22"/>
        </w:rPr>
      </w:pPr>
    </w:p>
    <w:p w:rsidR="003705E4" w:rsidRDefault="007B4665" w:rsidP="007B4665">
      <w:r>
        <w:rPr>
          <w:rFonts w:eastAsiaTheme="minorHAnsi"/>
          <w:color w:val="000000"/>
          <w:sz w:val="22"/>
          <w:szCs w:val="22"/>
        </w:rPr>
        <w:tab/>
      </w:r>
      <w:r w:rsidR="00CF6B20">
        <w:rPr>
          <w:rFonts w:eastAsiaTheme="minorHAnsi"/>
          <w:color w:val="000000"/>
          <w:sz w:val="22"/>
          <w:szCs w:val="22"/>
        </w:rPr>
        <w:tab/>
      </w:r>
      <w:r w:rsidR="00CF6B20">
        <w:rPr>
          <w:rFonts w:eastAsiaTheme="minorHAnsi"/>
          <w:color w:val="000000"/>
          <w:sz w:val="22"/>
          <w:szCs w:val="22"/>
        </w:rPr>
        <w:tab/>
      </w:r>
      <w:r>
        <w:t>Matt Steiger, St. Louis River AOC Coordinator</w:t>
      </w:r>
    </w:p>
    <w:p w:rsidR="007B4665" w:rsidRPr="001C471B" w:rsidRDefault="007B4665" w:rsidP="007B4665">
      <w:r>
        <w:tab/>
      </w:r>
      <w:r>
        <w:tab/>
      </w:r>
      <w:r>
        <w:tab/>
        <w:t>715-395-6904</w:t>
      </w:r>
    </w:p>
    <w:p w:rsidR="00F43F03" w:rsidRDefault="003705E4" w:rsidP="00CF6B20">
      <w:r w:rsidRPr="001C471B">
        <w:tab/>
      </w:r>
      <w:r w:rsidRPr="001C471B">
        <w:tab/>
      </w:r>
      <w:r w:rsidRPr="001C471B">
        <w:tab/>
      </w:r>
      <w:hyperlink r:id="rId9" w:history="1">
        <w:r w:rsidR="00C74077" w:rsidRPr="007206AC">
          <w:rPr>
            <w:rStyle w:val="Hyperlink"/>
          </w:rPr>
          <w:t>Matthew.Steiger@Wisconsin.gov</w:t>
        </w:r>
      </w:hyperlink>
      <w:r w:rsidR="00C74077">
        <w:t xml:space="preserve"> </w:t>
      </w:r>
      <w:r w:rsidR="00CF6B20">
        <w:t xml:space="preserve"> </w:t>
      </w:r>
    </w:p>
    <w:p w:rsidR="00F40BAE" w:rsidRDefault="00F40BAE" w:rsidP="00CF6B20"/>
    <w:p w:rsidR="003705E4" w:rsidRDefault="003705E4" w:rsidP="004A12F7">
      <w:pPr>
        <w:rPr>
          <w:b/>
          <w:i/>
        </w:rPr>
      </w:pPr>
    </w:p>
    <w:p w:rsidR="00687CEA" w:rsidRPr="00687CEA" w:rsidRDefault="00687CEA" w:rsidP="00687CEA">
      <w:pPr>
        <w:autoSpaceDE w:val="0"/>
        <w:autoSpaceDN w:val="0"/>
        <w:adjustRightInd w:val="0"/>
        <w:rPr>
          <w:rFonts w:eastAsiaTheme="minorHAnsi"/>
          <w:bCs/>
          <w:iCs/>
        </w:rPr>
      </w:pPr>
      <w:r w:rsidRPr="00687CEA">
        <w:rPr>
          <w:rFonts w:eastAsiaTheme="minorHAnsi"/>
          <w:b/>
          <w:bCs/>
          <w:i/>
          <w:iCs/>
        </w:rPr>
        <w:t>Project Location:</w:t>
      </w:r>
      <w:r w:rsidRPr="00687CEA">
        <w:rPr>
          <w:rFonts w:eastAsiaTheme="minorHAnsi"/>
          <w:bCs/>
          <w:iCs/>
        </w:rPr>
        <w:t xml:space="preserve"> Barkers Island Inner Beach, St. Louis River AOC, Superior, WI. The project area con</w:t>
      </w:r>
      <w:r w:rsidR="00217D9E">
        <w:rPr>
          <w:rFonts w:eastAsiaTheme="minorHAnsi"/>
          <w:bCs/>
          <w:iCs/>
        </w:rPr>
        <w:t xml:space="preserve">sidered under this project </w:t>
      </w:r>
      <w:r w:rsidRPr="00687CEA">
        <w:rPr>
          <w:rFonts w:eastAsiaTheme="minorHAnsi"/>
          <w:bCs/>
          <w:iCs/>
        </w:rPr>
        <w:t>include</w:t>
      </w:r>
      <w:r w:rsidR="00217D9E">
        <w:rPr>
          <w:rFonts w:eastAsiaTheme="minorHAnsi"/>
          <w:bCs/>
          <w:iCs/>
        </w:rPr>
        <w:t>s approximately acres of</w:t>
      </w:r>
      <w:r w:rsidRPr="00687CEA">
        <w:rPr>
          <w:rFonts w:eastAsiaTheme="minorHAnsi"/>
          <w:bCs/>
          <w:iCs/>
        </w:rPr>
        <w:t xml:space="preserve"> City of Superior owned land</w:t>
      </w:r>
      <w:r w:rsidR="00217D9E">
        <w:rPr>
          <w:rFonts w:eastAsiaTheme="minorHAnsi"/>
          <w:bCs/>
          <w:iCs/>
        </w:rPr>
        <w:t>.</w:t>
      </w:r>
      <w:r w:rsidRPr="00687CEA">
        <w:rPr>
          <w:rFonts w:eastAsiaTheme="minorHAnsi"/>
          <w:bCs/>
          <w:iCs/>
        </w:rPr>
        <w:t xml:space="preserve"> </w:t>
      </w:r>
    </w:p>
    <w:p w:rsidR="00687CEA" w:rsidRPr="00687CEA" w:rsidRDefault="00687CEA" w:rsidP="00687CEA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</w:p>
    <w:p w:rsidR="00687CEA" w:rsidRPr="00687CEA" w:rsidRDefault="00687CEA" w:rsidP="00687CEA">
      <w:pPr>
        <w:autoSpaceDE w:val="0"/>
        <w:autoSpaceDN w:val="0"/>
        <w:adjustRightInd w:val="0"/>
        <w:rPr>
          <w:rFonts w:eastAsiaTheme="minorHAnsi"/>
          <w:bCs/>
          <w:iCs/>
        </w:rPr>
      </w:pPr>
      <w:r w:rsidRPr="00687CEA">
        <w:rPr>
          <w:rFonts w:eastAsiaTheme="minorHAnsi"/>
          <w:b/>
          <w:bCs/>
          <w:i/>
          <w:iCs/>
        </w:rPr>
        <w:t>Problem Statement:</w:t>
      </w:r>
      <w:r w:rsidRPr="00687CEA">
        <w:rPr>
          <w:rFonts w:eastAsiaTheme="minorHAnsi"/>
          <w:bCs/>
          <w:iCs/>
        </w:rPr>
        <w:t xml:space="preserve"> Barkers Island Inner Beach is a recreational area owned by the City of Superior. It has been routinely sampled for </w:t>
      </w:r>
      <w:r w:rsidRPr="00687CEA">
        <w:rPr>
          <w:rFonts w:eastAsiaTheme="minorHAnsi"/>
          <w:bCs/>
          <w:i/>
          <w:iCs/>
        </w:rPr>
        <w:t>E. coli</w:t>
      </w:r>
      <w:r w:rsidRPr="00687CEA">
        <w:rPr>
          <w:rFonts w:eastAsiaTheme="minorHAnsi"/>
          <w:bCs/>
          <w:iCs/>
        </w:rPr>
        <w:t xml:space="preserve"> during the beach season over the past decade and data suggest that a number of </w:t>
      </w:r>
      <w:r w:rsidRPr="00687CEA">
        <w:rPr>
          <w:rFonts w:eastAsiaTheme="minorHAnsi"/>
          <w:bCs/>
          <w:i/>
          <w:iCs/>
        </w:rPr>
        <w:t>E. coli</w:t>
      </w:r>
      <w:r w:rsidRPr="00687CEA">
        <w:rPr>
          <w:rFonts w:eastAsiaTheme="minorHAnsi"/>
          <w:bCs/>
          <w:iCs/>
        </w:rPr>
        <w:t xml:space="preserve"> sources influence the water quality at the beach. Restoration of the beach and recreational area is needed to mitigate potential </w:t>
      </w:r>
      <w:r w:rsidRPr="00687CEA">
        <w:rPr>
          <w:rFonts w:eastAsiaTheme="minorHAnsi"/>
          <w:bCs/>
          <w:i/>
          <w:iCs/>
        </w:rPr>
        <w:t>E. coli</w:t>
      </w:r>
      <w:r w:rsidRPr="00687CEA">
        <w:rPr>
          <w:rFonts w:eastAsiaTheme="minorHAnsi"/>
          <w:bCs/>
          <w:iCs/>
        </w:rPr>
        <w:t xml:space="preserve"> sources and contribute to beneficial use impairment (BUI) removal and is listed as project 7.04 in the SLR Remedial Action Plan (</w:t>
      </w:r>
      <w:hyperlink r:id="rId10" w:history="1">
        <w:r w:rsidRPr="00687CEA">
          <w:rPr>
            <w:rFonts w:eastAsiaTheme="minorHAnsi"/>
            <w:bCs/>
            <w:iCs/>
            <w:color w:val="0000FF" w:themeColor="hyperlink"/>
            <w:u w:val="single"/>
          </w:rPr>
          <w:t>http://dnr.wi.gov/topic/greatlakes/st.louis.html</w:t>
        </w:r>
      </w:hyperlink>
      <w:r w:rsidRPr="00687CEA">
        <w:rPr>
          <w:rFonts w:eastAsiaTheme="minorHAnsi"/>
          <w:bCs/>
          <w:iCs/>
        </w:rPr>
        <w:t xml:space="preserve">). A number of potential pathogen sources have been identified including: </w:t>
      </w:r>
      <w:proofErr w:type="spellStart"/>
      <w:r w:rsidRPr="00687CEA">
        <w:rPr>
          <w:rFonts w:eastAsiaTheme="minorHAnsi"/>
          <w:bCs/>
          <w:iCs/>
        </w:rPr>
        <w:t>stormwater</w:t>
      </w:r>
      <w:proofErr w:type="spellEnd"/>
      <w:r w:rsidRPr="00687CEA">
        <w:rPr>
          <w:rFonts w:eastAsiaTheme="minorHAnsi"/>
          <w:bCs/>
          <w:iCs/>
        </w:rPr>
        <w:t xml:space="preserve"> runoff, waterfowl and gulls, trash and debris, and pets. </w:t>
      </w:r>
    </w:p>
    <w:p w:rsidR="00687CEA" w:rsidRPr="00687CEA" w:rsidRDefault="00687CEA" w:rsidP="00687CEA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</w:p>
    <w:p w:rsidR="00687CEA" w:rsidRDefault="00687CEA" w:rsidP="00687CEA">
      <w:pPr>
        <w:autoSpaceDE w:val="0"/>
        <w:autoSpaceDN w:val="0"/>
        <w:adjustRightInd w:val="0"/>
        <w:rPr>
          <w:rFonts w:eastAsiaTheme="minorHAnsi"/>
          <w:bCs/>
          <w:iCs/>
        </w:rPr>
      </w:pPr>
      <w:r w:rsidRPr="00687CEA">
        <w:rPr>
          <w:rFonts w:eastAsiaTheme="minorHAnsi"/>
          <w:b/>
          <w:bCs/>
          <w:i/>
          <w:iCs/>
        </w:rPr>
        <w:t>Proposed Work:</w:t>
      </w:r>
      <w:r w:rsidRPr="00687CEA">
        <w:rPr>
          <w:rFonts w:eastAsiaTheme="minorHAnsi"/>
          <w:bCs/>
          <w:iCs/>
        </w:rPr>
        <w:t xml:space="preserve"> This project will be implemented through an Aid Agreement between WDNR and the City of Superior to </w:t>
      </w:r>
      <w:r w:rsidR="00217D9E">
        <w:rPr>
          <w:rFonts w:eastAsiaTheme="minorHAnsi"/>
          <w:bCs/>
          <w:iCs/>
        </w:rPr>
        <w:t>implement the</w:t>
      </w:r>
      <w:r w:rsidRPr="00687CEA">
        <w:rPr>
          <w:rFonts w:eastAsiaTheme="minorHAnsi"/>
          <w:bCs/>
          <w:iCs/>
        </w:rPr>
        <w:t xml:space="preserve"> beach restoration project </w:t>
      </w:r>
      <w:r w:rsidR="00217D9E">
        <w:rPr>
          <w:rFonts w:eastAsiaTheme="minorHAnsi"/>
          <w:bCs/>
          <w:iCs/>
        </w:rPr>
        <w:t xml:space="preserve">as designed </w:t>
      </w:r>
      <w:r w:rsidRPr="00687CEA">
        <w:rPr>
          <w:rFonts w:eastAsiaTheme="minorHAnsi"/>
          <w:bCs/>
          <w:iCs/>
        </w:rPr>
        <w:t xml:space="preserve">at Barkers Island Inner beach. </w:t>
      </w:r>
      <w:r w:rsidR="0027721F">
        <w:rPr>
          <w:rFonts w:eastAsiaTheme="minorHAnsi"/>
          <w:bCs/>
          <w:iCs/>
        </w:rPr>
        <w:t xml:space="preserve">The project team worked with an engineering firm and the City to design the project from September of 2017 to May of 2018. </w:t>
      </w:r>
      <w:r w:rsidRPr="00687CEA">
        <w:rPr>
          <w:rFonts w:eastAsiaTheme="minorHAnsi"/>
          <w:bCs/>
          <w:iCs/>
        </w:rPr>
        <w:t xml:space="preserve">The </w:t>
      </w:r>
      <w:r w:rsidR="00217D9E">
        <w:rPr>
          <w:rFonts w:eastAsiaTheme="minorHAnsi"/>
          <w:bCs/>
          <w:iCs/>
        </w:rPr>
        <w:t>project includes removing impervious surfaces, constructing</w:t>
      </w:r>
      <w:r w:rsidRPr="00687CEA">
        <w:rPr>
          <w:rFonts w:eastAsiaTheme="minorHAnsi"/>
          <w:bCs/>
          <w:iCs/>
        </w:rPr>
        <w:t xml:space="preserve"> buffer strips, infiltration swales, pervious pavers, beach </w:t>
      </w:r>
      <w:r w:rsidR="0027721F">
        <w:rPr>
          <w:rFonts w:eastAsiaTheme="minorHAnsi"/>
          <w:bCs/>
          <w:iCs/>
        </w:rPr>
        <w:t>sand augmentation</w:t>
      </w:r>
      <w:r w:rsidRPr="00687CEA">
        <w:rPr>
          <w:rFonts w:eastAsiaTheme="minorHAnsi"/>
          <w:bCs/>
          <w:iCs/>
        </w:rPr>
        <w:t>,</w:t>
      </w:r>
      <w:r w:rsidR="0027721F">
        <w:rPr>
          <w:rFonts w:eastAsiaTheme="minorHAnsi"/>
          <w:bCs/>
          <w:iCs/>
        </w:rPr>
        <w:t xml:space="preserve"> restroom facility,</w:t>
      </w:r>
      <w:r w:rsidRPr="00687CEA">
        <w:rPr>
          <w:rFonts w:eastAsiaTheme="minorHAnsi"/>
          <w:bCs/>
          <w:iCs/>
        </w:rPr>
        <w:t xml:space="preserve"> trash and debris management and increased signage. A monitoring and maintenance plan </w:t>
      </w:r>
      <w:r w:rsidR="00765ECC">
        <w:rPr>
          <w:rFonts w:eastAsiaTheme="minorHAnsi"/>
          <w:bCs/>
          <w:iCs/>
        </w:rPr>
        <w:t xml:space="preserve">is in development and </w:t>
      </w:r>
      <w:r w:rsidR="00E9154C">
        <w:rPr>
          <w:rFonts w:eastAsiaTheme="minorHAnsi"/>
          <w:bCs/>
          <w:iCs/>
        </w:rPr>
        <w:t xml:space="preserve">monitoring and maintenance tasks </w:t>
      </w:r>
      <w:r w:rsidR="00765ECC">
        <w:rPr>
          <w:rFonts w:eastAsiaTheme="minorHAnsi"/>
          <w:bCs/>
          <w:iCs/>
        </w:rPr>
        <w:t xml:space="preserve">will be implemented by the selected </w:t>
      </w:r>
      <w:r w:rsidR="00765ECC">
        <w:rPr>
          <w:rFonts w:eastAsiaTheme="minorHAnsi"/>
          <w:bCs/>
          <w:iCs/>
        </w:rPr>
        <w:lastRenderedPageBreak/>
        <w:t>contractors and City</w:t>
      </w:r>
      <w:r w:rsidR="00E9154C">
        <w:rPr>
          <w:rFonts w:eastAsiaTheme="minorHAnsi"/>
          <w:bCs/>
          <w:iCs/>
        </w:rPr>
        <w:t xml:space="preserve">. </w:t>
      </w:r>
      <w:r w:rsidR="00F32AD9" w:rsidRPr="00687CEA">
        <w:rPr>
          <w:rFonts w:eastAsiaTheme="minorHAnsi"/>
          <w:bCs/>
          <w:iCs/>
        </w:rPr>
        <w:t xml:space="preserve">The </w:t>
      </w:r>
      <w:r w:rsidR="00F32AD9">
        <w:rPr>
          <w:rFonts w:eastAsiaTheme="minorHAnsi"/>
          <w:bCs/>
          <w:iCs/>
        </w:rPr>
        <w:t xml:space="preserve">City is providing in kind services and personnel hours to construct certain elements of the </w:t>
      </w:r>
      <w:r w:rsidR="00F32AD9" w:rsidRPr="00687CEA">
        <w:rPr>
          <w:rFonts w:eastAsiaTheme="minorHAnsi"/>
          <w:bCs/>
          <w:iCs/>
        </w:rPr>
        <w:t>design</w:t>
      </w:r>
      <w:r w:rsidR="00F32AD9">
        <w:rPr>
          <w:rFonts w:eastAsiaTheme="minorHAnsi"/>
          <w:bCs/>
          <w:iCs/>
        </w:rPr>
        <w:t>ed project.</w:t>
      </w:r>
    </w:p>
    <w:p w:rsidR="00E9154C" w:rsidRPr="00E9154C" w:rsidRDefault="00E9154C" w:rsidP="00687CEA">
      <w:pPr>
        <w:autoSpaceDE w:val="0"/>
        <w:autoSpaceDN w:val="0"/>
        <w:adjustRightInd w:val="0"/>
        <w:rPr>
          <w:rFonts w:eastAsiaTheme="minorHAnsi"/>
          <w:bCs/>
          <w:iCs/>
        </w:rPr>
      </w:pPr>
    </w:p>
    <w:p w:rsidR="00021B25" w:rsidRDefault="00687CEA" w:rsidP="00687CEA">
      <w:pPr>
        <w:rPr>
          <w:rFonts w:eastAsiaTheme="minorHAnsi"/>
          <w:bCs/>
          <w:iCs/>
        </w:rPr>
      </w:pPr>
      <w:r w:rsidRPr="00687CEA">
        <w:rPr>
          <w:rFonts w:eastAsiaTheme="minorHAnsi"/>
          <w:b/>
          <w:bCs/>
          <w:i/>
          <w:iCs/>
        </w:rPr>
        <w:t xml:space="preserve">Collaboration with partners: </w:t>
      </w:r>
      <w:r w:rsidRPr="00687CEA">
        <w:rPr>
          <w:rFonts w:eastAsiaTheme="minorHAnsi"/>
          <w:bCs/>
          <w:iCs/>
        </w:rPr>
        <w:t>WDNR has collaborated with</w:t>
      </w:r>
      <w:r w:rsidRPr="00687CEA">
        <w:rPr>
          <w:rFonts w:eastAsiaTheme="minorHAnsi"/>
          <w:b/>
          <w:bCs/>
          <w:iCs/>
        </w:rPr>
        <w:t xml:space="preserve"> </w:t>
      </w:r>
      <w:r w:rsidRPr="00687CEA">
        <w:rPr>
          <w:rFonts w:eastAsiaTheme="minorHAnsi"/>
          <w:bCs/>
          <w:iCs/>
        </w:rPr>
        <w:t>researchers and</w:t>
      </w:r>
      <w:r w:rsidRPr="00687CEA">
        <w:rPr>
          <w:rFonts w:eastAsiaTheme="minorHAnsi"/>
          <w:b/>
          <w:bCs/>
          <w:iCs/>
        </w:rPr>
        <w:t xml:space="preserve"> </w:t>
      </w:r>
      <w:r w:rsidRPr="00687CEA">
        <w:rPr>
          <w:rFonts w:eastAsiaTheme="minorHAnsi"/>
          <w:bCs/>
          <w:iCs/>
        </w:rPr>
        <w:t xml:space="preserve">a BUI technical team to evaluate the Beach Closings and Body Contact Restrictions BUI in the AOC. This project </w:t>
      </w:r>
      <w:r w:rsidR="00F32AD9">
        <w:rPr>
          <w:rFonts w:eastAsiaTheme="minorHAnsi"/>
          <w:bCs/>
          <w:iCs/>
        </w:rPr>
        <w:t>has</w:t>
      </w:r>
      <w:r w:rsidRPr="00687CEA">
        <w:rPr>
          <w:rFonts w:eastAsiaTheme="minorHAnsi"/>
          <w:bCs/>
          <w:iCs/>
        </w:rPr>
        <w:t xml:space="preserve"> utilize</w:t>
      </w:r>
      <w:r w:rsidR="00F32AD9">
        <w:rPr>
          <w:rFonts w:eastAsiaTheme="minorHAnsi"/>
          <w:bCs/>
          <w:iCs/>
        </w:rPr>
        <w:t>d</w:t>
      </w:r>
      <w:r w:rsidRPr="00687CEA">
        <w:rPr>
          <w:rFonts w:eastAsiaTheme="minorHAnsi"/>
          <w:bCs/>
          <w:iCs/>
        </w:rPr>
        <w:t xml:space="preserve"> local expertise at UW-Superior Lake Superior Research Institute, Douglas County Health Department, City of Superior, Minnesota Department of Health, MN Sea Grant, and the Lake Superior National Estuarine Research Reserve</w:t>
      </w:r>
      <w:r w:rsidR="00F32AD9">
        <w:rPr>
          <w:rFonts w:eastAsiaTheme="minorHAnsi"/>
          <w:bCs/>
          <w:iCs/>
        </w:rPr>
        <w:t xml:space="preserve"> as well as local citizen input. </w:t>
      </w:r>
    </w:p>
    <w:p w:rsidR="00687CEA" w:rsidRDefault="00687CEA" w:rsidP="00687CEA"/>
    <w:p w:rsidR="00BB18EA" w:rsidRPr="00687CEA" w:rsidRDefault="004A12F7" w:rsidP="00021B25">
      <w:r>
        <w:rPr>
          <w:b/>
          <w:i/>
        </w:rPr>
        <w:t>Timetable:</w:t>
      </w:r>
      <w:r w:rsidR="00687CEA">
        <w:rPr>
          <w:b/>
          <w:i/>
        </w:rPr>
        <w:t xml:space="preserve"> </w:t>
      </w:r>
      <w:r w:rsidR="00E9154C">
        <w:t>May 1</w:t>
      </w:r>
      <w:r w:rsidR="00725970">
        <w:t xml:space="preserve">, 2018-  </w:t>
      </w:r>
      <w:r w:rsidR="00E9154C">
        <w:t>November 30, 2020</w:t>
      </w:r>
    </w:p>
    <w:p w:rsidR="00BB18EA" w:rsidRDefault="00BB18EA" w:rsidP="00021B25">
      <w:pPr>
        <w:rPr>
          <w:b/>
          <w:i/>
        </w:rPr>
      </w:pPr>
    </w:p>
    <w:p w:rsidR="00687CEA" w:rsidRDefault="00A80E20" w:rsidP="00687CE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The City will begin to solicit competitive bids</w:t>
      </w:r>
      <w:r w:rsidR="00E9154C">
        <w:rPr>
          <w:bCs/>
          <w:iCs/>
        </w:rPr>
        <w:t xml:space="preserve"> </w:t>
      </w:r>
      <w:r w:rsidR="00687CEA">
        <w:rPr>
          <w:bCs/>
          <w:iCs/>
        </w:rPr>
        <w:t xml:space="preserve">in </w:t>
      </w:r>
      <w:r w:rsidR="00E9154C">
        <w:rPr>
          <w:bCs/>
          <w:iCs/>
        </w:rPr>
        <w:t>May 2018</w:t>
      </w:r>
      <w:r w:rsidR="00687CEA">
        <w:rPr>
          <w:bCs/>
          <w:iCs/>
        </w:rPr>
        <w:t xml:space="preserve"> and </w:t>
      </w:r>
      <w:r w:rsidR="00E9154C">
        <w:rPr>
          <w:bCs/>
          <w:iCs/>
        </w:rPr>
        <w:t xml:space="preserve">construction </w:t>
      </w:r>
      <w:r w:rsidR="00687CEA">
        <w:rPr>
          <w:bCs/>
          <w:iCs/>
        </w:rPr>
        <w:t xml:space="preserve">contracts should be in place by </w:t>
      </w:r>
      <w:r w:rsidR="00E9154C">
        <w:rPr>
          <w:bCs/>
          <w:iCs/>
        </w:rPr>
        <w:t>July</w:t>
      </w:r>
      <w:r w:rsidR="00687CEA">
        <w:rPr>
          <w:bCs/>
          <w:iCs/>
        </w:rPr>
        <w:t xml:space="preserve">. </w:t>
      </w:r>
    </w:p>
    <w:p w:rsidR="00687CEA" w:rsidRDefault="00687CEA" w:rsidP="00687CEA">
      <w:pPr>
        <w:autoSpaceDE w:val="0"/>
        <w:autoSpaceDN w:val="0"/>
        <w:adjustRightInd w:val="0"/>
        <w:rPr>
          <w:bCs/>
          <w:iCs/>
        </w:rPr>
      </w:pPr>
    </w:p>
    <w:p w:rsidR="00687CEA" w:rsidRDefault="00E9154C" w:rsidP="00687CE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</w:t>
      </w:r>
      <w:r w:rsidR="00687CEA">
        <w:rPr>
          <w:bCs/>
          <w:iCs/>
        </w:rPr>
        <w:t xml:space="preserve">ublic </w:t>
      </w:r>
      <w:r>
        <w:rPr>
          <w:bCs/>
          <w:iCs/>
        </w:rPr>
        <w:t xml:space="preserve">outreach about construction and project safety will </w:t>
      </w:r>
      <w:r w:rsidR="00426EF5">
        <w:rPr>
          <w:bCs/>
          <w:iCs/>
        </w:rPr>
        <w:t xml:space="preserve">begin as soon as construction timelines are established. </w:t>
      </w:r>
      <w:r w:rsidR="00687CEA">
        <w:rPr>
          <w:bCs/>
          <w:iCs/>
        </w:rPr>
        <w:t xml:space="preserve"> </w:t>
      </w:r>
    </w:p>
    <w:p w:rsidR="00687CEA" w:rsidRDefault="00687CEA" w:rsidP="00687CEA">
      <w:pPr>
        <w:autoSpaceDE w:val="0"/>
        <w:autoSpaceDN w:val="0"/>
        <w:adjustRightInd w:val="0"/>
        <w:rPr>
          <w:bCs/>
          <w:iCs/>
        </w:rPr>
      </w:pPr>
    </w:p>
    <w:p w:rsidR="00E9154C" w:rsidRDefault="00687CEA" w:rsidP="00687CE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Target completion for the pr</w:t>
      </w:r>
      <w:r w:rsidR="00E9154C">
        <w:rPr>
          <w:bCs/>
          <w:iCs/>
        </w:rPr>
        <w:t xml:space="preserve">oject construction </w:t>
      </w:r>
      <w:r>
        <w:rPr>
          <w:bCs/>
          <w:iCs/>
        </w:rPr>
        <w:t xml:space="preserve">is </w:t>
      </w:r>
      <w:r w:rsidR="00E9154C">
        <w:rPr>
          <w:bCs/>
          <w:iCs/>
        </w:rPr>
        <w:t>November 30</w:t>
      </w:r>
      <w:r>
        <w:rPr>
          <w:bCs/>
          <w:iCs/>
        </w:rPr>
        <w:t xml:space="preserve">, 2018. </w:t>
      </w:r>
      <w:r w:rsidR="00E9154C">
        <w:rPr>
          <w:bCs/>
          <w:iCs/>
        </w:rPr>
        <w:t>Additional site work</w:t>
      </w:r>
      <w:r w:rsidR="008135B8">
        <w:rPr>
          <w:bCs/>
          <w:iCs/>
        </w:rPr>
        <w:t>,</w:t>
      </w:r>
      <w:r w:rsidR="00E9154C">
        <w:rPr>
          <w:bCs/>
          <w:iCs/>
        </w:rPr>
        <w:t xml:space="preserve"> </w:t>
      </w:r>
      <w:r w:rsidR="0005308C">
        <w:rPr>
          <w:bCs/>
          <w:iCs/>
        </w:rPr>
        <w:t>such as plantings</w:t>
      </w:r>
      <w:r w:rsidR="008135B8">
        <w:rPr>
          <w:bCs/>
          <w:iCs/>
        </w:rPr>
        <w:t>,</w:t>
      </w:r>
      <w:r w:rsidR="0005308C">
        <w:rPr>
          <w:bCs/>
          <w:iCs/>
        </w:rPr>
        <w:t xml:space="preserve"> </w:t>
      </w:r>
      <w:r w:rsidR="00E9154C">
        <w:rPr>
          <w:bCs/>
          <w:iCs/>
        </w:rPr>
        <w:t xml:space="preserve">may take place </w:t>
      </w:r>
      <w:r w:rsidR="0005308C">
        <w:rPr>
          <w:bCs/>
          <w:iCs/>
        </w:rPr>
        <w:t xml:space="preserve">in the spring of 2019. Final construction, including as built documents, will be completed </w:t>
      </w:r>
      <w:r w:rsidR="005A5330">
        <w:rPr>
          <w:bCs/>
          <w:iCs/>
        </w:rPr>
        <w:t>no later than</w:t>
      </w:r>
      <w:r w:rsidR="0005308C">
        <w:rPr>
          <w:bCs/>
          <w:iCs/>
        </w:rPr>
        <w:t xml:space="preserve"> December 1, 2019. </w:t>
      </w:r>
    </w:p>
    <w:p w:rsidR="0005308C" w:rsidRDefault="0005308C" w:rsidP="00687CEA">
      <w:pPr>
        <w:autoSpaceDE w:val="0"/>
        <w:autoSpaceDN w:val="0"/>
        <w:adjustRightInd w:val="0"/>
        <w:rPr>
          <w:bCs/>
          <w:iCs/>
        </w:rPr>
      </w:pPr>
    </w:p>
    <w:p w:rsidR="00021B25" w:rsidRDefault="00E9154C" w:rsidP="0005308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Monitoring and maintenance </w:t>
      </w:r>
      <w:r w:rsidR="00426EF5">
        <w:rPr>
          <w:bCs/>
          <w:iCs/>
        </w:rPr>
        <w:t xml:space="preserve">(including any repairs) </w:t>
      </w:r>
      <w:r w:rsidR="0005308C">
        <w:rPr>
          <w:bCs/>
          <w:iCs/>
        </w:rPr>
        <w:t>will begin as soon as construction work is completed and continue through the two-year warranty period (November 30, 2020). Warranty period</w:t>
      </w:r>
      <w:r w:rsidR="00687CEA">
        <w:rPr>
          <w:bCs/>
          <w:iCs/>
        </w:rPr>
        <w:t xml:space="preserve"> </w:t>
      </w:r>
      <w:r w:rsidR="0005308C">
        <w:rPr>
          <w:bCs/>
          <w:iCs/>
        </w:rPr>
        <w:t xml:space="preserve">monitoring of project outcomes will be contracted separately. </w:t>
      </w:r>
      <w:r w:rsidR="00426EF5">
        <w:rPr>
          <w:bCs/>
          <w:iCs/>
        </w:rPr>
        <w:t xml:space="preserve">Monitoring will begin the following beach season after completion of construction (i.e., Memorial Day weekend through Labor Day weekend of 2019 and 2020).  </w:t>
      </w:r>
      <w:r w:rsidR="0005308C">
        <w:rPr>
          <w:bCs/>
          <w:iCs/>
        </w:rPr>
        <w:t xml:space="preserve">Monitoring will include sanitary surveys, e. coli samples, and wetland </w:t>
      </w:r>
      <w:r w:rsidR="00687CEA">
        <w:rPr>
          <w:bCs/>
          <w:iCs/>
        </w:rPr>
        <w:t>monitoring</w:t>
      </w:r>
      <w:r w:rsidR="0005308C">
        <w:rPr>
          <w:bCs/>
          <w:iCs/>
        </w:rPr>
        <w:t xml:space="preserve">. </w:t>
      </w:r>
      <w:r w:rsidR="00A80E20">
        <w:rPr>
          <w:bCs/>
          <w:iCs/>
        </w:rPr>
        <w:t xml:space="preserve">An annual monitoring report will be submitted to the project team. </w:t>
      </w:r>
    </w:p>
    <w:p w:rsidR="0005308C" w:rsidRDefault="0005308C" w:rsidP="0005308C">
      <w:pPr>
        <w:autoSpaceDE w:val="0"/>
        <w:autoSpaceDN w:val="0"/>
        <w:adjustRightInd w:val="0"/>
        <w:rPr>
          <w:bCs/>
          <w:iCs/>
        </w:rPr>
      </w:pPr>
    </w:p>
    <w:p w:rsidR="00426EF5" w:rsidRDefault="00426EF5" w:rsidP="00426EF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The City of Superior will establish an agreement to perform the maintenance of project features as outlined in the 10-year plan and continue maintenance after the two seasons of monitoring and maintenance included in this project. </w:t>
      </w:r>
    </w:p>
    <w:p w:rsidR="0005308C" w:rsidRPr="0005308C" w:rsidRDefault="0005308C" w:rsidP="0005308C">
      <w:pPr>
        <w:autoSpaceDE w:val="0"/>
        <w:autoSpaceDN w:val="0"/>
        <w:adjustRightInd w:val="0"/>
        <w:rPr>
          <w:bCs/>
          <w:iCs/>
        </w:rPr>
      </w:pPr>
    </w:p>
    <w:p w:rsidR="00687CEA" w:rsidRDefault="00687CEA"/>
    <w:p w:rsidR="00687CEA" w:rsidRDefault="00687CEA" w:rsidP="00687CEA">
      <w:pPr>
        <w:autoSpaceDE w:val="0"/>
        <w:autoSpaceDN w:val="0"/>
        <w:adjustRightInd w:val="0"/>
      </w:pPr>
      <w:r>
        <w:rPr>
          <w:b/>
          <w:bCs/>
          <w:i/>
          <w:iCs/>
        </w:rPr>
        <w:t>Deliverables</w:t>
      </w:r>
      <w:r>
        <w:t>:</w:t>
      </w:r>
    </w:p>
    <w:p w:rsidR="00687CEA" w:rsidRDefault="00687CEA" w:rsidP="00687CEA">
      <w:pPr>
        <w:autoSpaceDE w:val="0"/>
        <w:autoSpaceDN w:val="0"/>
        <w:adjustRightInd w:val="0"/>
      </w:pPr>
    </w:p>
    <w:p w:rsidR="00687CEA" w:rsidRDefault="00687CEA" w:rsidP="00687CEA">
      <w:pPr>
        <w:pStyle w:val="ListParagraph"/>
        <w:numPr>
          <w:ilvl w:val="0"/>
          <w:numId w:val="2"/>
        </w:numPr>
        <w:spacing w:after="200" w:line="276" w:lineRule="auto"/>
      </w:pPr>
      <w:r w:rsidRPr="00367C29">
        <w:t>Quarterly reporting and invoicing to WDNR: Quarterly reporting will be due on, July 15, October 15, January 15 and April 15 of each year of the grant.</w:t>
      </w:r>
    </w:p>
    <w:p w:rsidR="00687CEA" w:rsidRPr="00367C29" w:rsidRDefault="00687CEA" w:rsidP="00687CEA">
      <w:pPr>
        <w:pStyle w:val="ListParagraph"/>
      </w:pPr>
    </w:p>
    <w:p w:rsidR="00C85E2C" w:rsidRDefault="00C85E2C" w:rsidP="00426EF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Solicit competitive bids for construction of the final restoration design.</w:t>
      </w:r>
    </w:p>
    <w:p w:rsidR="00C85E2C" w:rsidRDefault="00C85E2C" w:rsidP="00C85E2C">
      <w:pPr>
        <w:pStyle w:val="ListParagraph"/>
      </w:pPr>
    </w:p>
    <w:p w:rsidR="00426EF5" w:rsidRDefault="00C85E2C" w:rsidP="00426EF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</w:t>
      </w:r>
      <w:r w:rsidR="00426EF5">
        <w:t>onstruction of the preferred restoration design</w:t>
      </w:r>
      <w:r w:rsidR="00A80E20">
        <w:t xml:space="preserve"> by qualified contractor(s)</w:t>
      </w:r>
      <w:r w:rsidR="00426EF5">
        <w:t>, including as built documents, completed by December 1, 2019.</w:t>
      </w:r>
    </w:p>
    <w:p w:rsidR="00A80E20" w:rsidRDefault="00A80E20" w:rsidP="00A80E20">
      <w:pPr>
        <w:pStyle w:val="ListParagraph"/>
      </w:pPr>
    </w:p>
    <w:p w:rsidR="00A80E20" w:rsidRDefault="00A80E20" w:rsidP="00426EF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Construction oversight by qualified oversight contractor(s). </w:t>
      </w:r>
    </w:p>
    <w:p w:rsidR="00426EF5" w:rsidRPr="00367C29" w:rsidRDefault="00426EF5" w:rsidP="00426EF5">
      <w:pPr>
        <w:pStyle w:val="ListParagraph"/>
      </w:pPr>
    </w:p>
    <w:p w:rsidR="00426EF5" w:rsidRDefault="00426EF5" w:rsidP="00426EF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Weekly project team meetings during construction (as appropriate).</w:t>
      </w:r>
    </w:p>
    <w:p w:rsidR="00426EF5" w:rsidRPr="001944C7" w:rsidRDefault="00426EF5" w:rsidP="00426EF5">
      <w:pPr>
        <w:pStyle w:val="ListParagraph"/>
        <w:autoSpaceDE w:val="0"/>
        <w:autoSpaceDN w:val="0"/>
        <w:adjustRightInd w:val="0"/>
      </w:pPr>
    </w:p>
    <w:p w:rsidR="00426EF5" w:rsidRPr="0091251A" w:rsidRDefault="00426EF5" w:rsidP="00426EF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 xml:space="preserve">Implementation of the Ten-Year Monitoring and Maintenance Plan </w:t>
      </w:r>
      <w:r w:rsidR="005A5330">
        <w:t xml:space="preserve">by qualified contractor(s) </w:t>
      </w:r>
      <w:r>
        <w:t xml:space="preserve">for two beach seasons immediately after construction is completed (as appropriate considering a warranty period for certain project aspects). Monitoring and maintenance through November 30, 2020. </w:t>
      </w:r>
    </w:p>
    <w:p w:rsidR="00687CEA" w:rsidRPr="00CC5D7A" w:rsidRDefault="00687CEA" w:rsidP="00A80E20"/>
    <w:p w:rsidR="00687CEA" w:rsidRDefault="00426EF5" w:rsidP="00426EF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Presentation of the project at </w:t>
      </w:r>
      <w:r w:rsidR="00687CEA">
        <w:t xml:space="preserve">Parks &amp; Recreation Commission </w:t>
      </w:r>
      <w:r w:rsidR="00A80E20">
        <w:t xml:space="preserve">and City Council </w:t>
      </w:r>
      <w:r w:rsidR="00687CEA">
        <w:t>meeting</w:t>
      </w:r>
      <w:r>
        <w:t>s as necessary.</w:t>
      </w:r>
    </w:p>
    <w:p w:rsidR="00657003" w:rsidRDefault="00657003" w:rsidP="00657003"/>
    <w:p w:rsidR="00BB18EA" w:rsidRDefault="00F3451C" w:rsidP="00657003">
      <w:pPr>
        <w:pStyle w:val="ListParagraph"/>
        <w:numPr>
          <w:ilvl w:val="0"/>
          <w:numId w:val="1"/>
        </w:numPr>
      </w:pPr>
      <w:r>
        <w:t>A</w:t>
      </w:r>
      <w:r w:rsidR="00657003">
        <w:t>ny reports, fliers, outreach materials developed as part of these grant funds need to acknowledge the funding source (EPA GLRI and WDNR)</w:t>
      </w:r>
    </w:p>
    <w:p w:rsidR="00847608" w:rsidRDefault="00847608" w:rsidP="00847608">
      <w:pPr>
        <w:pStyle w:val="ListParagraph"/>
      </w:pPr>
    </w:p>
    <w:p w:rsidR="00847608" w:rsidRPr="00C456B4" w:rsidRDefault="00847608" w:rsidP="00847608">
      <w:pPr>
        <w:autoSpaceDE w:val="0"/>
        <w:autoSpaceDN w:val="0"/>
        <w:adjustRightInd w:val="0"/>
        <w:rPr>
          <w:b/>
          <w:i/>
        </w:rPr>
      </w:pPr>
      <w:r w:rsidRPr="00C456B4">
        <w:rPr>
          <w:b/>
          <w:i/>
        </w:rPr>
        <w:t xml:space="preserve">Outcomes: </w:t>
      </w:r>
    </w:p>
    <w:p w:rsidR="00847608" w:rsidRDefault="00847608" w:rsidP="0084760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Complete project 7.04 in the SLRAOC RAP.</w:t>
      </w:r>
    </w:p>
    <w:p w:rsidR="00847608" w:rsidRDefault="00847608" w:rsidP="0084760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Reduce the occurrence of beach closures at the Barkers Island Inner Beach</w:t>
      </w:r>
    </w:p>
    <w:p w:rsidR="00847608" w:rsidRDefault="00847608" w:rsidP="0084760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Provide a body contact recreation area in the AOC with improved water quality, access, safety and aesthetics. </w:t>
      </w:r>
    </w:p>
    <w:p w:rsidR="00847608" w:rsidRDefault="00847608" w:rsidP="0084760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Establish a long-term maintenance routine and agreement for the implemented project that ensures project features continue to function as designed and following the Monitoring and Maintenance plan. </w:t>
      </w:r>
    </w:p>
    <w:p w:rsidR="00847608" w:rsidRDefault="00847608" w:rsidP="0084760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Measure the success of the restoration project using monitoring data</w:t>
      </w:r>
    </w:p>
    <w:p w:rsidR="00972B1D" w:rsidRPr="00C87F1F" w:rsidRDefault="00972B1D"/>
    <w:p w:rsidR="005A5330" w:rsidRDefault="005A5330" w:rsidP="005A5330">
      <w:r>
        <w:rPr>
          <w:b/>
          <w:bCs/>
          <w:i/>
          <w:iCs/>
        </w:rPr>
        <w:t>Project Budget:</w:t>
      </w:r>
    </w:p>
    <w:p w:rsidR="005A5330" w:rsidRDefault="005A5330" w:rsidP="005A53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566"/>
      </w:tblGrid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CC4C6B" w:rsidRDefault="00153C00" w:rsidP="00DB7EC2">
            <w:pPr>
              <w:rPr>
                <w:b/>
              </w:rPr>
            </w:pPr>
          </w:p>
        </w:tc>
        <w:tc>
          <w:tcPr>
            <w:tcW w:w="1566" w:type="dxa"/>
            <w:shd w:val="clear" w:color="auto" w:fill="auto"/>
          </w:tcPr>
          <w:p w:rsidR="00153C00" w:rsidRPr="00CC4C6B" w:rsidRDefault="00153C00" w:rsidP="00DB7EC2">
            <w:pPr>
              <w:rPr>
                <w:b/>
              </w:rPr>
            </w:pPr>
            <w:r>
              <w:rPr>
                <w:b/>
              </w:rPr>
              <w:t>Project budget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CC4C6B" w:rsidRDefault="00153C00" w:rsidP="00DB7EC2">
            <w:r w:rsidRPr="00CC4C6B">
              <w:t>Person</w:t>
            </w:r>
            <w:r>
              <w:t>n</w:t>
            </w:r>
            <w:r w:rsidRPr="00CC4C6B">
              <w:t>el</w:t>
            </w:r>
            <w:r>
              <w:t xml:space="preserve"> and fringe</w:t>
            </w:r>
          </w:p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  <w:r>
              <w:t>$0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8604C8" w:rsidRDefault="00153C00" w:rsidP="00DB7EC2"/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8604C8" w:rsidRDefault="00153C00" w:rsidP="00DB7EC2">
            <w:r>
              <w:t>Equipment</w:t>
            </w:r>
          </w:p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  <w:r>
              <w:t>$13,50</w:t>
            </w:r>
            <w:r w:rsidRPr="008F2BB5">
              <w:t>0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8604C8" w:rsidRDefault="00153C00" w:rsidP="00DB7EC2">
            <w:r>
              <w:t>Supplies</w:t>
            </w:r>
          </w:p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  <w:r>
              <w:t>$</w:t>
            </w:r>
            <w:r w:rsidRPr="008F2BB5">
              <w:t>0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8604C8" w:rsidRDefault="00153C00" w:rsidP="00DB7EC2">
            <w:r>
              <w:t>Contractual</w:t>
            </w:r>
          </w:p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  <w:r>
              <w:t>$658,749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8604C8" w:rsidRDefault="00153C00" w:rsidP="00DB7EC2">
            <w:r w:rsidRPr="008604C8">
              <w:t>Other</w:t>
            </w:r>
          </w:p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  <w:r>
              <w:t>$0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CC4C6B" w:rsidRDefault="00153C00" w:rsidP="00DB7EC2">
            <w:pPr>
              <w:rPr>
                <w:b/>
              </w:rPr>
            </w:pPr>
            <w:r w:rsidRPr="00CC4C6B">
              <w:rPr>
                <w:b/>
              </w:rPr>
              <w:t>Total Direct Cost</w:t>
            </w:r>
          </w:p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  <w:r>
              <w:t>$672,249</w:t>
            </w: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8604C8" w:rsidRDefault="00153C00" w:rsidP="00DB7EC2"/>
        </w:tc>
        <w:tc>
          <w:tcPr>
            <w:tcW w:w="1566" w:type="dxa"/>
            <w:shd w:val="clear" w:color="auto" w:fill="auto"/>
          </w:tcPr>
          <w:p w:rsidR="00153C00" w:rsidRPr="008F2BB5" w:rsidRDefault="00153C00" w:rsidP="00DB7EC2">
            <w:pPr>
              <w:jc w:val="right"/>
            </w:pPr>
          </w:p>
        </w:tc>
      </w:tr>
      <w:tr w:rsidR="00153C00" w:rsidRPr="00CC4C6B" w:rsidTr="00DB7EC2">
        <w:tc>
          <w:tcPr>
            <w:tcW w:w="2749" w:type="dxa"/>
            <w:shd w:val="clear" w:color="auto" w:fill="auto"/>
          </w:tcPr>
          <w:p w:rsidR="00153C00" w:rsidRPr="00CC4C6B" w:rsidRDefault="00153C00" w:rsidP="00DB7EC2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566" w:type="dxa"/>
            <w:shd w:val="clear" w:color="auto" w:fill="auto"/>
          </w:tcPr>
          <w:p w:rsidR="00153C00" w:rsidRPr="00CC4C6B" w:rsidRDefault="00153C00" w:rsidP="00DB7EC2">
            <w:pPr>
              <w:jc w:val="right"/>
              <w:rPr>
                <w:b/>
              </w:rPr>
            </w:pPr>
            <w:r>
              <w:rPr>
                <w:b/>
              </w:rPr>
              <w:t>$672,249</w:t>
            </w:r>
          </w:p>
        </w:tc>
      </w:tr>
    </w:tbl>
    <w:p w:rsidR="005A5330" w:rsidRDefault="005A5330" w:rsidP="005A5330">
      <w:pPr>
        <w:autoSpaceDE w:val="0"/>
        <w:autoSpaceDN w:val="0"/>
        <w:adjustRightInd w:val="0"/>
        <w:rPr>
          <w:b/>
          <w:bCs/>
          <w:i/>
          <w:iCs/>
        </w:rPr>
      </w:pPr>
    </w:p>
    <w:p w:rsidR="005A5330" w:rsidRDefault="005A5330" w:rsidP="005A5330"/>
    <w:p w:rsidR="003914C0" w:rsidRDefault="005A5330" w:rsidP="005A5330">
      <w:r>
        <w:t>Contractu</w:t>
      </w:r>
      <w:r w:rsidR="003914C0">
        <w:t>al</w:t>
      </w:r>
      <w:r>
        <w:t xml:space="preserve"> amount includes funding to the City of Superior</w:t>
      </w:r>
      <w:r w:rsidR="00A31578">
        <w:t xml:space="preserve"> to hire a contractor</w:t>
      </w:r>
      <w:r>
        <w:t xml:space="preserve"> to implement the designed beach restoration project and complete the deliverables listed</w:t>
      </w:r>
      <w:r w:rsidR="003914C0">
        <w:t xml:space="preserve">. </w:t>
      </w:r>
    </w:p>
    <w:p w:rsidR="005A5330" w:rsidRDefault="005A5330" w:rsidP="005A5330"/>
    <w:p w:rsidR="005A5330" w:rsidRDefault="005A5330" w:rsidP="005A5330">
      <w:r>
        <w:t>E</w:t>
      </w:r>
      <w:r w:rsidRPr="00987F36">
        <w:t xml:space="preserve">quipment </w:t>
      </w:r>
      <w:r>
        <w:t xml:space="preserve">is </w:t>
      </w:r>
      <w:r w:rsidR="00690899">
        <w:t>the</w:t>
      </w:r>
      <w:r w:rsidRPr="00987F36">
        <w:t xml:space="preserve"> purchase </w:t>
      </w:r>
      <w:r w:rsidR="00690899">
        <w:t xml:space="preserve">of </w:t>
      </w:r>
      <w:r w:rsidRPr="00987F36">
        <w:t>one walk behind style beach cleaner to remove debris and contaminants from the beach area.</w:t>
      </w:r>
      <w:r>
        <w:t xml:space="preserve"> The cost of the beach cleaner is $13,500. The City would utilize the equipment during the project period and beyond for proper long-term maintenance of the beach.</w:t>
      </w:r>
    </w:p>
    <w:p w:rsidR="00153C00" w:rsidRDefault="00153C00" w:rsidP="005A5330"/>
    <w:p w:rsidR="002A67AA" w:rsidRPr="00B8106C" w:rsidRDefault="00153C00" w:rsidP="006B6600">
      <w:r w:rsidRPr="00153C00">
        <w:t>City of Superior</w:t>
      </w:r>
      <w:r>
        <w:t xml:space="preserve"> will also be providing</w:t>
      </w:r>
      <w:r>
        <w:t xml:space="preserve"> voluntary</w:t>
      </w:r>
      <w:r>
        <w:t xml:space="preserve"> in-kind services and staff time for project work including construction items such as site demolition work, concrete work pavement and walkways, signs, </w:t>
      </w:r>
      <w:proofErr w:type="spellStart"/>
      <w:r>
        <w:t>etc</w:t>
      </w:r>
      <w:proofErr w:type="spellEnd"/>
      <w:r>
        <w:t xml:space="preserve"> as well as some post construction maintenance labor and supply costs total up to approximately $120,000.</w:t>
      </w:r>
      <w:bookmarkStart w:id="0" w:name="_GoBack"/>
      <w:bookmarkEnd w:id="0"/>
    </w:p>
    <w:sectPr w:rsidR="002A67AA" w:rsidRPr="00B8106C" w:rsidSect="00C20366">
      <w:headerReference w:type="default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65" w:rsidRDefault="00075B65">
      <w:r>
        <w:separator/>
      </w:r>
    </w:p>
  </w:endnote>
  <w:endnote w:type="continuationSeparator" w:id="0">
    <w:p w:rsidR="00075B65" w:rsidRDefault="0007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0D" w:rsidRDefault="00D02208" w:rsidP="00FC60E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3C0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65" w:rsidRDefault="00075B65">
      <w:r>
        <w:separator/>
      </w:r>
    </w:p>
  </w:footnote>
  <w:footnote w:type="continuationSeparator" w:id="0">
    <w:p w:rsidR="00075B65" w:rsidRDefault="0007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15" w:rsidRDefault="00643015" w:rsidP="006430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EC7"/>
    <w:multiLevelType w:val="hybridMultilevel"/>
    <w:tmpl w:val="E82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0C64"/>
    <w:multiLevelType w:val="hybridMultilevel"/>
    <w:tmpl w:val="0E34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53B"/>
    <w:multiLevelType w:val="hybridMultilevel"/>
    <w:tmpl w:val="A84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7"/>
    <w:rsid w:val="0000197E"/>
    <w:rsid w:val="00021B25"/>
    <w:rsid w:val="0003786C"/>
    <w:rsid w:val="00043516"/>
    <w:rsid w:val="0005308C"/>
    <w:rsid w:val="00071256"/>
    <w:rsid w:val="00075B65"/>
    <w:rsid w:val="000B061B"/>
    <w:rsid w:val="000D05E7"/>
    <w:rsid w:val="001009C6"/>
    <w:rsid w:val="00122CF5"/>
    <w:rsid w:val="0013058B"/>
    <w:rsid w:val="00153C00"/>
    <w:rsid w:val="001701F9"/>
    <w:rsid w:val="001C21EA"/>
    <w:rsid w:val="001C4747"/>
    <w:rsid w:val="001E149D"/>
    <w:rsid w:val="00217D9E"/>
    <w:rsid w:val="002526C2"/>
    <w:rsid w:val="00261FBB"/>
    <w:rsid w:val="0027721F"/>
    <w:rsid w:val="002916FF"/>
    <w:rsid w:val="00295C26"/>
    <w:rsid w:val="00296139"/>
    <w:rsid w:val="002A67AA"/>
    <w:rsid w:val="002E1717"/>
    <w:rsid w:val="002E5EA4"/>
    <w:rsid w:val="002F25F2"/>
    <w:rsid w:val="00315D44"/>
    <w:rsid w:val="00322448"/>
    <w:rsid w:val="00344A33"/>
    <w:rsid w:val="003705E4"/>
    <w:rsid w:val="003914C0"/>
    <w:rsid w:val="003A6619"/>
    <w:rsid w:val="003E2A6B"/>
    <w:rsid w:val="003F1DE1"/>
    <w:rsid w:val="00426EF5"/>
    <w:rsid w:val="00444246"/>
    <w:rsid w:val="004A12F7"/>
    <w:rsid w:val="004C1E49"/>
    <w:rsid w:val="005124F4"/>
    <w:rsid w:val="0051314D"/>
    <w:rsid w:val="005A5330"/>
    <w:rsid w:val="005E4D9D"/>
    <w:rsid w:val="005E7C07"/>
    <w:rsid w:val="006277E8"/>
    <w:rsid w:val="00643015"/>
    <w:rsid w:val="00644974"/>
    <w:rsid w:val="00656899"/>
    <w:rsid w:val="00657003"/>
    <w:rsid w:val="00687541"/>
    <w:rsid w:val="00687CEA"/>
    <w:rsid w:val="00690260"/>
    <w:rsid w:val="00690899"/>
    <w:rsid w:val="006B6600"/>
    <w:rsid w:val="006D57B1"/>
    <w:rsid w:val="006F6570"/>
    <w:rsid w:val="00705320"/>
    <w:rsid w:val="00725970"/>
    <w:rsid w:val="00765ECC"/>
    <w:rsid w:val="00791543"/>
    <w:rsid w:val="007A3556"/>
    <w:rsid w:val="007A5C6B"/>
    <w:rsid w:val="007B4665"/>
    <w:rsid w:val="008135B8"/>
    <w:rsid w:val="00847608"/>
    <w:rsid w:val="008555D0"/>
    <w:rsid w:val="008666E5"/>
    <w:rsid w:val="00890A90"/>
    <w:rsid w:val="008F3BD5"/>
    <w:rsid w:val="009001E3"/>
    <w:rsid w:val="00923F37"/>
    <w:rsid w:val="009317CE"/>
    <w:rsid w:val="00972B1D"/>
    <w:rsid w:val="009B1DA7"/>
    <w:rsid w:val="009D5DC9"/>
    <w:rsid w:val="009F0555"/>
    <w:rsid w:val="009F7E45"/>
    <w:rsid w:val="00A31578"/>
    <w:rsid w:val="00A346B9"/>
    <w:rsid w:val="00A70F04"/>
    <w:rsid w:val="00A80E20"/>
    <w:rsid w:val="00AB7177"/>
    <w:rsid w:val="00B3363F"/>
    <w:rsid w:val="00B74FF3"/>
    <w:rsid w:val="00B94BCE"/>
    <w:rsid w:val="00BA0CFC"/>
    <w:rsid w:val="00BB18EA"/>
    <w:rsid w:val="00BD4204"/>
    <w:rsid w:val="00C0331F"/>
    <w:rsid w:val="00C04A0C"/>
    <w:rsid w:val="00C2005A"/>
    <w:rsid w:val="00C200E8"/>
    <w:rsid w:val="00C74077"/>
    <w:rsid w:val="00C76810"/>
    <w:rsid w:val="00C85E2C"/>
    <w:rsid w:val="00C86C3C"/>
    <w:rsid w:val="00C87F1F"/>
    <w:rsid w:val="00CD0A6D"/>
    <w:rsid w:val="00CF6B20"/>
    <w:rsid w:val="00CF7FC6"/>
    <w:rsid w:val="00D02208"/>
    <w:rsid w:val="00D221D4"/>
    <w:rsid w:val="00D22C28"/>
    <w:rsid w:val="00D40D7C"/>
    <w:rsid w:val="00D45C7A"/>
    <w:rsid w:val="00D62B68"/>
    <w:rsid w:val="00D70B43"/>
    <w:rsid w:val="00DA595A"/>
    <w:rsid w:val="00DF3FE3"/>
    <w:rsid w:val="00E9154C"/>
    <w:rsid w:val="00EC6086"/>
    <w:rsid w:val="00F140D4"/>
    <w:rsid w:val="00F31782"/>
    <w:rsid w:val="00F32AD9"/>
    <w:rsid w:val="00F3451C"/>
    <w:rsid w:val="00F40BAE"/>
    <w:rsid w:val="00F43F03"/>
    <w:rsid w:val="00F52D8B"/>
    <w:rsid w:val="00F7279E"/>
    <w:rsid w:val="00FB6E68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7811C4"/>
  <w15:docId w15:val="{8226AD9C-81D5-4D8C-A285-12F8BEE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2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2F7"/>
    <w:rPr>
      <w:rFonts w:ascii="Arial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4A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2F7"/>
    <w:rPr>
      <w:sz w:val="24"/>
      <w:szCs w:val="24"/>
    </w:rPr>
  </w:style>
  <w:style w:type="character" w:styleId="PageNumber">
    <w:name w:val="page number"/>
    <w:basedOn w:val="DefaultParagraphFont"/>
    <w:rsid w:val="004A12F7"/>
  </w:style>
  <w:style w:type="paragraph" w:customStyle="1" w:styleId="BodyNoIndent">
    <w:name w:val="BodyNoIndent"/>
    <w:basedOn w:val="BodyText"/>
    <w:rsid w:val="004A12F7"/>
    <w:pPr>
      <w:spacing w:after="0" w:line="360" w:lineRule="auto"/>
    </w:pPr>
    <w:rPr>
      <w:rFonts w:ascii="Times" w:hAnsi="Times"/>
      <w:sz w:val="22"/>
      <w:szCs w:val="20"/>
    </w:rPr>
  </w:style>
  <w:style w:type="paragraph" w:styleId="BodyText">
    <w:name w:val="Body Text"/>
    <w:basedOn w:val="Normal"/>
    <w:link w:val="BodyTextChar"/>
    <w:rsid w:val="004A12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12F7"/>
    <w:rPr>
      <w:sz w:val="24"/>
      <w:szCs w:val="24"/>
    </w:rPr>
  </w:style>
  <w:style w:type="paragraph" w:customStyle="1" w:styleId="reference">
    <w:name w:val="reference"/>
    <w:basedOn w:val="Normal"/>
    <w:link w:val="referenceChar"/>
    <w:rsid w:val="002A67AA"/>
    <w:pPr>
      <w:spacing w:line="360" w:lineRule="auto"/>
      <w:ind w:left="720" w:hanging="720"/>
    </w:pPr>
  </w:style>
  <w:style w:type="character" w:customStyle="1" w:styleId="referenceChar">
    <w:name w:val="reference Char"/>
    <w:basedOn w:val="DefaultParagraphFont"/>
    <w:link w:val="reference"/>
    <w:rsid w:val="002A67AA"/>
    <w:rPr>
      <w:sz w:val="24"/>
      <w:szCs w:val="24"/>
    </w:rPr>
  </w:style>
  <w:style w:type="paragraph" w:customStyle="1" w:styleId="Reference0">
    <w:name w:val="Reference"/>
    <w:basedOn w:val="Normal"/>
    <w:link w:val="ReferenceChar0"/>
    <w:qFormat/>
    <w:rsid w:val="002A67AA"/>
    <w:pPr>
      <w:widowControl w:val="0"/>
      <w:autoSpaceDE w:val="0"/>
      <w:autoSpaceDN w:val="0"/>
      <w:adjustRightInd w:val="0"/>
      <w:spacing w:before="120" w:after="120" w:line="276" w:lineRule="auto"/>
      <w:ind w:left="720" w:hanging="720"/>
    </w:pPr>
    <w:rPr>
      <w:rFonts w:eastAsiaTheme="minorEastAsia"/>
      <w:sz w:val="22"/>
      <w:szCs w:val="22"/>
    </w:rPr>
  </w:style>
  <w:style w:type="character" w:customStyle="1" w:styleId="ReferenceChar0">
    <w:name w:val="Reference Char"/>
    <w:link w:val="Reference0"/>
    <w:rsid w:val="002A67A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rsid w:val="00C7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A33"/>
    <w:rPr>
      <w:sz w:val="24"/>
      <w:szCs w:val="24"/>
    </w:rPr>
  </w:style>
  <w:style w:type="character" w:styleId="Hyperlink">
    <w:name w:val="Hyperlink"/>
    <w:basedOn w:val="DefaultParagraphFont"/>
    <w:rsid w:val="003705E4"/>
    <w:rPr>
      <w:color w:val="0000FF" w:themeColor="hyperlink"/>
      <w:u w:val="single"/>
    </w:rPr>
  </w:style>
  <w:style w:type="paragraph" w:customStyle="1" w:styleId="Default">
    <w:name w:val="Default"/>
    <w:rsid w:val="003705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j@ci.superior.wi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el@ci.superior.wi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nr.wi.gov/topic/greatlakes/st.lou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.Steiger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O'Shea, Megan C</dc:creator>
  <cp:lastModifiedBy>Punke, Emily M - DNR</cp:lastModifiedBy>
  <cp:revision>6</cp:revision>
  <cp:lastPrinted>2016-05-19T14:53:00Z</cp:lastPrinted>
  <dcterms:created xsi:type="dcterms:W3CDTF">2018-05-01T17:18:00Z</dcterms:created>
  <dcterms:modified xsi:type="dcterms:W3CDTF">2018-05-14T19:23:00Z</dcterms:modified>
</cp:coreProperties>
</file>