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81D68" w14:textId="77777777" w:rsidR="006A0AA0" w:rsidRPr="005A4F42" w:rsidRDefault="006A0AA0" w:rsidP="002C18D3">
      <w:pPr>
        <w:spacing w:line="360" w:lineRule="auto"/>
        <w:rPr>
          <w:rFonts w:ascii="Times New Roman" w:hAnsi="Times New Roman" w:cs="Times New Roman"/>
        </w:rPr>
      </w:pPr>
      <w:bookmarkStart w:id="0" w:name="_GoBack"/>
      <w:bookmarkEnd w:id="0"/>
      <w:r>
        <w:rPr>
          <w:rFonts w:ascii="Times New Roman" w:hAnsi="Times New Roman" w:cs="Times New Roman"/>
        </w:rPr>
        <w:t>DNR AIS R&amp;D Grant Report</w:t>
      </w:r>
    </w:p>
    <w:p w14:paraId="2F0CD69B" w14:textId="77777777" w:rsidR="006A0AA0" w:rsidRDefault="006A0AA0" w:rsidP="002C18D3">
      <w:pPr>
        <w:spacing w:line="360" w:lineRule="auto"/>
      </w:pPr>
      <w:r w:rsidRPr="006A0AA0">
        <w:rPr>
          <w:b/>
        </w:rPr>
        <w:t>Final report</w:t>
      </w:r>
      <w:r>
        <w:t xml:space="preserve"> on DNR AIS project# AEPP-365-12</w:t>
      </w:r>
    </w:p>
    <w:p w14:paraId="7512AFDB" w14:textId="1FFDCA70" w:rsidR="00A8651C" w:rsidRPr="006A6576" w:rsidRDefault="00A8651C" w:rsidP="002C18D3">
      <w:pPr>
        <w:spacing w:line="360" w:lineRule="auto"/>
        <w:rPr>
          <w:rFonts w:ascii="Times New Roman" w:hAnsi="Times New Roman" w:cs="Times New Roman"/>
          <w:b/>
        </w:rPr>
      </w:pPr>
      <w:r w:rsidRPr="006A6576">
        <w:rPr>
          <w:rFonts w:ascii="Times New Roman" w:hAnsi="Times New Roman" w:cs="Times New Roman"/>
          <w:b/>
        </w:rPr>
        <w:t xml:space="preserve">Early detection, vectors and impact of invasive spiny </w:t>
      </w:r>
      <w:r w:rsidR="006A6576">
        <w:rPr>
          <w:rFonts w:ascii="Times New Roman" w:hAnsi="Times New Roman" w:cs="Times New Roman"/>
          <w:b/>
        </w:rPr>
        <w:t>water flea in Wisconsin Lakes</w:t>
      </w:r>
    </w:p>
    <w:p w14:paraId="68F156F9" w14:textId="6726102E" w:rsidR="00A8651C" w:rsidRPr="006A6576" w:rsidRDefault="005B00C4" w:rsidP="002C18D3">
      <w:pPr>
        <w:spacing w:line="360" w:lineRule="auto"/>
        <w:rPr>
          <w:rFonts w:ascii="Times New Roman" w:hAnsi="Times New Roman" w:cs="Times New Roman"/>
          <w:i/>
        </w:rPr>
      </w:pPr>
      <w:r w:rsidRPr="006A6576">
        <w:rPr>
          <w:rFonts w:ascii="Times New Roman" w:hAnsi="Times New Roman" w:cs="Times New Roman"/>
          <w:i/>
        </w:rPr>
        <w:t>M. Jake Vander Zanden and Jake</w:t>
      </w:r>
      <w:r w:rsidR="00A8651C" w:rsidRPr="006A6576">
        <w:rPr>
          <w:rFonts w:ascii="Times New Roman" w:hAnsi="Times New Roman" w:cs="Times New Roman"/>
          <w:i/>
        </w:rPr>
        <w:t xml:space="preserve"> R. Walsh, Center for Limnology, UW-Madison</w:t>
      </w:r>
    </w:p>
    <w:p w14:paraId="0DA27663" w14:textId="77777777" w:rsidR="00A8651C" w:rsidRDefault="00A8651C" w:rsidP="002C18D3">
      <w:pPr>
        <w:spacing w:line="360" w:lineRule="auto"/>
        <w:rPr>
          <w:rFonts w:ascii="Times New Roman" w:hAnsi="Times New Roman" w:cs="Times New Roman"/>
          <w:i/>
        </w:rPr>
      </w:pPr>
    </w:p>
    <w:p w14:paraId="3B4C5844" w14:textId="77777777" w:rsidR="006A0AA0" w:rsidRDefault="006A0AA0" w:rsidP="002C18D3">
      <w:pPr>
        <w:spacing w:line="360" w:lineRule="auto"/>
        <w:rPr>
          <w:rFonts w:ascii="Times New Roman" w:hAnsi="Times New Roman" w:cs="Times New Roman"/>
        </w:rPr>
      </w:pPr>
      <w:r>
        <w:rPr>
          <w:rFonts w:ascii="Times New Roman" w:hAnsi="Times New Roman" w:cs="Times New Roman"/>
        </w:rPr>
        <w:t>This grant was awarded in spring of 2012. The project is now completed, and below we describe our objectives and our accomplishments.</w:t>
      </w:r>
    </w:p>
    <w:p w14:paraId="41ADE316" w14:textId="77777777" w:rsidR="006A6576" w:rsidRPr="006A0AA0" w:rsidRDefault="006A6576" w:rsidP="002C18D3">
      <w:pPr>
        <w:spacing w:line="360" w:lineRule="auto"/>
        <w:rPr>
          <w:rFonts w:ascii="Times New Roman" w:hAnsi="Times New Roman" w:cs="Times New Roman"/>
        </w:rPr>
      </w:pPr>
    </w:p>
    <w:p w14:paraId="2CA464F8" w14:textId="667F4E86" w:rsidR="00A8651C" w:rsidRPr="006A6576" w:rsidRDefault="002C18D3" w:rsidP="002C18D3">
      <w:pPr>
        <w:spacing w:line="360" w:lineRule="auto"/>
        <w:rPr>
          <w:rFonts w:ascii="Times New Roman" w:hAnsi="Times New Roman" w:cs="Times New Roman"/>
          <w:b/>
        </w:rPr>
      </w:pPr>
      <w:r>
        <w:rPr>
          <w:rFonts w:ascii="Times New Roman" w:hAnsi="Times New Roman" w:cs="Times New Roman"/>
          <w:b/>
        </w:rPr>
        <w:t>Scope of project and d</w:t>
      </w:r>
      <w:r w:rsidR="00A8651C" w:rsidRPr="006A6576">
        <w:rPr>
          <w:rFonts w:ascii="Times New Roman" w:hAnsi="Times New Roman" w:cs="Times New Roman"/>
          <w:b/>
        </w:rPr>
        <w:t>escription of project area</w:t>
      </w:r>
    </w:p>
    <w:p w14:paraId="50F725C3" w14:textId="5DDC28EB" w:rsidR="00EB1660" w:rsidRPr="006A6576" w:rsidRDefault="006A0AA0" w:rsidP="002C18D3">
      <w:pPr>
        <w:spacing w:line="360" w:lineRule="auto"/>
        <w:rPr>
          <w:rFonts w:ascii="Times New Roman" w:hAnsi="Times New Roman" w:cs="Times New Roman"/>
        </w:rPr>
      </w:pPr>
      <w:r>
        <w:rPr>
          <w:rFonts w:ascii="Times New Roman" w:hAnsi="Times New Roman" w:cs="Times New Roman"/>
        </w:rPr>
        <w:t>This</w:t>
      </w:r>
      <w:r w:rsidR="00C434DD" w:rsidRPr="006A6576">
        <w:rPr>
          <w:rFonts w:ascii="Times New Roman" w:hAnsi="Times New Roman" w:cs="Times New Roman"/>
        </w:rPr>
        <w:t xml:space="preserve"> ‘Research and Demonstration’ project</w:t>
      </w:r>
      <w:r w:rsidR="00EB1660" w:rsidRPr="006A6576">
        <w:rPr>
          <w:rFonts w:ascii="Times New Roman" w:hAnsi="Times New Roman" w:cs="Times New Roman"/>
        </w:rPr>
        <w:t xml:space="preserve"> </w:t>
      </w:r>
      <w:r>
        <w:rPr>
          <w:rFonts w:ascii="Times New Roman" w:hAnsi="Times New Roman" w:cs="Times New Roman"/>
        </w:rPr>
        <w:t>focused on the Madison chain of lakes, but also included</w:t>
      </w:r>
      <w:r w:rsidR="00EB1660" w:rsidRPr="006A6576">
        <w:rPr>
          <w:rFonts w:ascii="Times New Roman" w:hAnsi="Times New Roman" w:cs="Times New Roman"/>
        </w:rPr>
        <w:t xml:space="preserve"> </w:t>
      </w:r>
      <w:r w:rsidR="002C18D3">
        <w:rPr>
          <w:rFonts w:ascii="Times New Roman" w:hAnsi="Times New Roman" w:cs="Times New Roman"/>
        </w:rPr>
        <w:t>some</w:t>
      </w:r>
      <w:r w:rsidR="00EB1660" w:rsidRPr="006A6576">
        <w:rPr>
          <w:rFonts w:ascii="Times New Roman" w:hAnsi="Times New Roman" w:cs="Times New Roman"/>
        </w:rPr>
        <w:t xml:space="preserve"> </w:t>
      </w:r>
      <w:r>
        <w:rPr>
          <w:rFonts w:ascii="Times New Roman" w:hAnsi="Times New Roman" w:cs="Times New Roman"/>
        </w:rPr>
        <w:t>other W</w:t>
      </w:r>
      <w:r w:rsidR="00C434DD" w:rsidRPr="006A6576">
        <w:rPr>
          <w:rFonts w:ascii="Times New Roman" w:hAnsi="Times New Roman" w:cs="Times New Roman"/>
        </w:rPr>
        <w:t>isconsin lakes</w:t>
      </w:r>
      <w:r>
        <w:rPr>
          <w:rFonts w:ascii="Times New Roman" w:hAnsi="Times New Roman" w:cs="Times New Roman"/>
        </w:rPr>
        <w:t xml:space="preserve"> known to be invaded by spiny water flea</w:t>
      </w:r>
      <w:r w:rsidR="00DB53C1" w:rsidRPr="006A6576">
        <w:rPr>
          <w:rFonts w:ascii="Times New Roman" w:hAnsi="Times New Roman" w:cs="Times New Roman"/>
        </w:rPr>
        <w:t xml:space="preserve"> (Table</w:t>
      </w:r>
      <w:r w:rsidR="00597F87" w:rsidRPr="006A6576">
        <w:rPr>
          <w:rFonts w:ascii="Times New Roman" w:hAnsi="Times New Roman" w:cs="Times New Roman"/>
        </w:rPr>
        <w:t xml:space="preserve"> 1)</w:t>
      </w:r>
      <w:r w:rsidR="00EB1660" w:rsidRPr="006A6576">
        <w:rPr>
          <w:rFonts w:ascii="Times New Roman" w:hAnsi="Times New Roman" w:cs="Times New Roman"/>
        </w:rPr>
        <w:t>.  The Yahara Chain of lakes; l</w:t>
      </w:r>
      <w:r w:rsidR="00C434DD" w:rsidRPr="006A6576">
        <w:rPr>
          <w:rFonts w:ascii="Times New Roman" w:hAnsi="Times New Roman" w:cs="Times New Roman"/>
        </w:rPr>
        <w:t>akes Mendota, Monona, Waubesa and Kegonsa</w:t>
      </w:r>
      <w:r w:rsidR="000A3D45" w:rsidRPr="006A6576">
        <w:rPr>
          <w:rFonts w:ascii="Times New Roman" w:hAnsi="Times New Roman" w:cs="Times New Roman"/>
        </w:rPr>
        <w:t xml:space="preserve"> of</w:t>
      </w:r>
      <w:r w:rsidR="00C434DD" w:rsidRPr="006A6576">
        <w:rPr>
          <w:rFonts w:ascii="Times New Roman" w:hAnsi="Times New Roman" w:cs="Times New Roman"/>
        </w:rPr>
        <w:t xml:space="preserve"> Dane County, WI comprise the original four study lakes for this project</w:t>
      </w:r>
      <w:r w:rsidR="00EB1660" w:rsidRPr="006A6576">
        <w:rPr>
          <w:rFonts w:ascii="Times New Roman" w:hAnsi="Times New Roman" w:cs="Times New Roman"/>
        </w:rPr>
        <w:t xml:space="preserve">.  </w:t>
      </w:r>
      <w:r>
        <w:rPr>
          <w:rFonts w:ascii="Times New Roman" w:hAnsi="Times New Roman" w:cs="Times New Roman"/>
        </w:rPr>
        <w:t>We expanded the scope to include</w:t>
      </w:r>
      <w:r w:rsidR="00EB1660" w:rsidRPr="006A6576">
        <w:rPr>
          <w:rFonts w:ascii="Times New Roman" w:hAnsi="Times New Roman" w:cs="Times New Roman"/>
        </w:rPr>
        <w:t xml:space="preserve"> three additional lakes:  Stormy Lake (Vilas County, WI), the Gile Flowage (Iron County, WI) and Lake Gogebic (Gogebic/Ontonagon Counties, Upper Peninsula, MI). </w:t>
      </w:r>
      <w:r>
        <w:rPr>
          <w:rFonts w:ascii="Times New Roman" w:hAnsi="Times New Roman" w:cs="Times New Roman"/>
        </w:rPr>
        <w:t>At the time submitting the proposal, s</w:t>
      </w:r>
      <w:r w:rsidR="00EB1660" w:rsidRPr="006A6576">
        <w:rPr>
          <w:rFonts w:ascii="Times New Roman" w:hAnsi="Times New Roman" w:cs="Times New Roman"/>
        </w:rPr>
        <w:t xml:space="preserve">piny water flea </w:t>
      </w:r>
      <w:r>
        <w:rPr>
          <w:rFonts w:ascii="Times New Roman" w:hAnsi="Times New Roman" w:cs="Times New Roman"/>
        </w:rPr>
        <w:t>were</w:t>
      </w:r>
      <w:r w:rsidR="00EB1660" w:rsidRPr="006A6576">
        <w:rPr>
          <w:rFonts w:ascii="Times New Roman" w:hAnsi="Times New Roman" w:cs="Times New Roman"/>
        </w:rPr>
        <w:t xml:space="preserve"> limited to these seven lakes, presenting a unique opportunity to propose a project with a statewide scale encompassing a diverse range of environmental, ecologica</w:t>
      </w:r>
      <w:r w:rsidR="0099267A" w:rsidRPr="006A6576">
        <w:rPr>
          <w:rFonts w:ascii="Times New Roman" w:hAnsi="Times New Roman" w:cs="Times New Roman"/>
        </w:rPr>
        <w:t xml:space="preserve">l, and social interactions that strengthen the </w:t>
      </w:r>
      <w:r w:rsidR="00A6679A" w:rsidRPr="006A6576">
        <w:rPr>
          <w:rFonts w:ascii="Times New Roman" w:hAnsi="Times New Roman" w:cs="Times New Roman"/>
        </w:rPr>
        <w:t>benefits of the</w:t>
      </w:r>
      <w:r w:rsidR="00597F87" w:rsidRPr="006A6576">
        <w:rPr>
          <w:rFonts w:ascii="Times New Roman" w:hAnsi="Times New Roman" w:cs="Times New Roman"/>
        </w:rPr>
        <w:t xml:space="preserve"> project.</w:t>
      </w:r>
      <w:r>
        <w:rPr>
          <w:rFonts w:ascii="Times New Roman" w:hAnsi="Times New Roman" w:cs="Times New Roman"/>
        </w:rPr>
        <w:t xml:space="preserve"> Since 2012, spiny water flea have been found in several additional lakes in northern Wisconsin: Butternut (Forest County, 2014), Ike Walton (Vilas County, 2015), Star (Vilas County, 2013), and Trout (Vilas County, 2014). Spiny water flea appear to be expanding their rate of spread in northern Wisconsin. This </w:t>
      </w:r>
      <w:r w:rsidR="002C18D3">
        <w:rPr>
          <w:rFonts w:ascii="Times New Roman" w:hAnsi="Times New Roman" w:cs="Times New Roman"/>
        </w:rPr>
        <w:t xml:space="preserve">further </w:t>
      </w:r>
      <w:r>
        <w:rPr>
          <w:rFonts w:ascii="Times New Roman" w:hAnsi="Times New Roman" w:cs="Times New Roman"/>
        </w:rPr>
        <w:t>highlights the need for research to help understanding the ecological and economic impacts of this new player in Wisconsin’s lake communities.</w:t>
      </w:r>
    </w:p>
    <w:p w14:paraId="09532126" w14:textId="59AA6FD2" w:rsidR="002C18D3" w:rsidRDefault="002C18D3">
      <w:pPr>
        <w:rPr>
          <w:rFonts w:ascii="Times New Roman" w:hAnsi="Times New Roman" w:cs="Times New Roman"/>
        </w:rPr>
      </w:pPr>
      <w:r>
        <w:rPr>
          <w:rFonts w:ascii="Times New Roman" w:hAnsi="Times New Roman" w:cs="Times New Roman"/>
        </w:rPr>
        <w:br w:type="page"/>
      </w:r>
    </w:p>
    <w:p w14:paraId="7A90BF0D" w14:textId="77777777" w:rsidR="00DB53C1" w:rsidRPr="006A6576" w:rsidRDefault="00DB53C1" w:rsidP="002C18D3">
      <w:pPr>
        <w:spacing w:line="360" w:lineRule="auto"/>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1188"/>
        <w:gridCol w:w="900"/>
        <w:gridCol w:w="1170"/>
        <w:gridCol w:w="1260"/>
        <w:gridCol w:w="1350"/>
        <w:gridCol w:w="1080"/>
        <w:gridCol w:w="1620"/>
      </w:tblGrid>
      <w:tr w:rsidR="00126EE3" w:rsidRPr="006A6576" w14:paraId="734388D9" w14:textId="77777777" w:rsidTr="008964BB">
        <w:tc>
          <w:tcPr>
            <w:tcW w:w="1188" w:type="dxa"/>
            <w:tcBorders>
              <w:top w:val="thinThickLargeGap" w:sz="24" w:space="0" w:color="auto"/>
              <w:left w:val="single" w:sz="4" w:space="0" w:color="auto"/>
              <w:bottom w:val="thinThickLargeGap" w:sz="24" w:space="0" w:color="auto"/>
              <w:right w:val="thinThickLargeGap" w:sz="24" w:space="0" w:color="auto"/>
            </w:tcBorders>
          </w:tcPr>
          <w:p w14:paraId="7D9F87BA"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Lake</w:t>
            </w:r>
          </w:p>
        </w:tc>
        <w:tc>
          <w:tcPr>
            <w:tcW w:w="900" w:type="dxa"/>
            <w:tcBorders>
              <w:top w:val="thinThickLargeGap" w:sz="24" w:space="0" w:color="auto"/>
              <w:left w:val="thinThickLargeGap" w:sz="24" w:space="0" w:color="auto"/>
              <w:bottom w:val="thinThickLargeGap" w:sz="24" w:space="0" w:color="auto"/>
              <w:right w:val="thinThickLargeGap" w:sz="24" w:space="0" w:color="auto"/>
            </w:tcBorders>
          </w:tcPr>
          <w:p w14:paraId="6C26F57C"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Lake Area (ha)</w:t>
            </w:r>
          </w:p>
        </w:tc>
        <w:tc>
          <w:tcPr>
            <w:tcW w:w="1170" w:type="dxa"/>
            <w:tcBorders>
              <w:top w:val="thinThickLargeGap" w:sz="24" w:space="0" w:color="auto"/>
              <w:left w:val="thinThickLargeGap" w:sz="24" w:space="0" w:color="auto"/>
              <w:bottom w:val="thinThickLargeGap" w:sz="24" w:space="0" w:color="auto"/>
              <w:right w:val="thinThickLargeGap" w:sz="24" w:space="0" w:color="auto"/>
            </w:tcBorders>
          </w:tcPr>
          <w:p w14:paraId="2DA48D42" w14:textId="055FCCAB" w:rsidR="00DB53C1" w:rsidRPr="006A6576" w:rsidRDefault="008D56E4"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 xml:space="preserve">Max Depth </w:t>
            </w:r>
            <w:r w:rsidR="00DB53C1" w:rsidRPr="006A6576">
              <w:rPr>
                <w:rFonts w:ascii="Times New Roman" w:hAnsi="Times New Roman" w:cs="Times New Roman"/>
                <w:sz w:val="20"/>
                <w:szCs w:val="20"/>
              </w:rPr>
              <w:t>(m)</w:t>
            </w:r>
          </w:p>
        </w:tc>
        <w:tc>
          <w:tcPr>
            <w:tcW w:w="1260" w:type="dxa"/>
            <w:tcBorders>
              <w:top w:val="thinThickLargeGap" w:sz="24" w:space="0" w:color="auto"/>
              <w:left w:val="thinThickLargeGap" w:sz="24" w:space="0" w:color="auto"/>
              <w:bottom w:val="thinThickLargeGap" w:sz="24" w:space="0" w:color="auto"/>
              <w:right w:val="thinThickLargeGap" w:sz="24" w:space="0" w:color="auto"/>
            </w:tcBorders>
          </w:tcPr>
          <w:p w14:paraId="1CCBF685"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Mean Depth (m)</w:t>
            </w:r>
          </w:p>
        </w:tc>
        <w:tc>
          <w:tcPr>
            <w:tcW w:w="1350" w:type="dxa"/>
            <w:tcBorders>
              <w:top w:val="thinThickLargeGap" w:sz="24" w:space="0" w:color="auto"/>
              <w:left w:val="thinThickLargeGap" w:sz="24" w:space="0" w:color="auto"/>
              <w:bottom w:val="thinThickLargeGap" w:sz="24" w:space="0" w:color="auto"/>
              <w:right w:val="thinThickLargeGap" w:sz="24" w:space="0" w:color="auto"/>
            </w:tcBorders>
          </w:tcPr>
          <w:p w14:paraId="57BD021D"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Chlorophyll-a (</w:t>
            </w:r>
            <w:r w:rsidRPr="006A6576">
              <w:rPr>
                <w:rFonts w:ascii="Times New Roman" w:eastAsia="MS Mincho" w:hAnsi="Times New Roman" w:cs="Times New Roman"/>
                <w:color w:val="000000"/>
                <w:sz w:val="20"/>
                <w:szCs w:val="20"/>
              </w:rPr>
              <w:t>u</w:t>
            </w:r>
            <w:r w:rsidRPr="006A6576">
              <w:rPr>
                <w:rFonts w:ascii="Times New Roman" w:hAnsi="Times New Roman" w:cs="Times New Roman"/>
                <w:sz w:val="20"/>
                <w:szCs w:val="20"/>
              </w:rPr>
              <w:t>g*L</w:t>
            </w:r>
            <w:r w:rsidRPr="006A6576">
              <w:rPr>
                <w:rFonts w:ascii="Times New Roman" w:hAnsi="Times New Roman" w:cs="Times New Roman"/>
                <w:sz w:val="20"/>
                <w:szCs w:val="20"/>
                <w:vertAlign w:val="superscript"/>
              </w:rPr>
              <w:t>-1</w:t>
            </w:r>
            <w:r w:rsidRPr="006A6576">
              <w:rPr>
                <w:rFonts w:ascii="Times New Roman" w:hAnsi="Times New Roman" w:cs="Times New Roman"/>
                <w:sz w:val="20"/>
                <w:szCs w:val="20"/>
              </w:rPr>
              <w:t>)</w:t>
            </w:r>
          </w:p>
        </w:tc>
        <w:tc>
          <w:tcPr>
            <w:tcW w:w="1080" w:type="dxa"/>
            <w:tcBorders>
              <w:top w:val="thinThickLargeGap" w:sz="24" w:space="0" w:color="auto"/>
              <w:left w:val="thinThickLargeGap" w:sz="24" w:space="0" w:color="auto"/>
              <w:bottom w:val="thinThickLargeGap" w:sz="24" w:space="0" w:color="auto"/>
              <w:right w:val="thinThickLargeGap" w:sz="24" w:space="0" w:color="auto"/>
            </w:tcBorders>
          </w:tcPr>
          <w:p w14:paraId="0906FC6A"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Secchi Depth (m)</w:t>
            </w:r>
          </w:p>
        </w:tc>
        <w:tc>
          <w:tcPr>
            <w:tcW w:w="1620" w:type="dxa"/>
            <w:tcBorders>
              <w:top w:val="thinThickLargeGap" w:sz="24" w:space="0" w:color="auto"/>
              <w:left w:val="thinThickLargeGap" w:sz="24" w:space="0" w:color="auto"/>
              <w:bottom w:val="thinThickLargeGap" w:sz="24" w:space="0" w:color="auto"/>
              <w:right w:val="single" w:sz="4" w:space="0" w:color="auto"/>
            </w:tcBorders>
          </w:tcPr>
          <w:p w14:paraId="6C0E14DE"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County, State</w:t>
            </w:r>
          </w:p>
        </w:tc>
      </w:tr>
      <w:tr w:rsidR="00126EE3" w:rsidRPr="006A6576" w14:paraId="62017DD8" w14:textId="77777777" w:rsidTr="008964BB">
        <w:tc>
          <w:tcPr>
            <w:tcW w:w="1188" w:type="dxa"/>
            <w:tcBorders>
              <w:top w:val="thinThickLargeGap" w:sz="24" w:space="0" w:color="auto"/>
              <w:left w:val="single" w:sz="4" w:space="0" w:color="auto"/>
              <w:bottom w:val="single" w:sz="4" w:space="0" w:color="auto"/>
              <w:right w:val="nil"/>
            </w:tcBorders>
          </w:tcPr>
          <w:p w14:paraId="00E5E4F2" w14:textId="5AD67691" w:rsidR="00DB53C1" w:rsidRPr="006A6576" w:rsidRDefault="00DB53C1" w:rsidP="002C18D3">
            <w:pPr>
              <w:spacing w:line="360" w:lineRule="auto"/>
              <w:jc w:val="center"/>
              <w:rPr>
                <w:rFonts w:ascii="Times New Roman" w:hAnsi="Times New Roman" w:cs="Times New Roman"/>
                <w:sz w:val="20"/>
                <w:szCs w:val="20"/>
                <w:vertAlign w:val="superscript"/>
              </w:rPr>
            </w:pPr>
            <w:r w:rsidRPr="006A6576">
              <w:rPr>
                <w:rFonts w:ascii="Times New Roman" w:hAnsi="Times New Roman" w:cs="Times New Roman"/>
                <w:sz w:val="20"/>
                <w:szCs w:val="20"/>
              </w:rPr>
              <w:t>Mendota</w:t>
            </w:r>
            <w:r w:rsidR="00413671" w:rsidRPr="006A6576">
              <w:rPr>
                <w:rFonts w:ascii="Times New Roman" w:hAnsi="Times New Roman" w:cs="Times New Roman"/>
                <w:sz w:val="20"/>
                <w:szCs w:val="20"/>
                <w:vertAlign w:val="superscript"/>
              </w:rPr>
              <w:t>1</w:t>
            </w:r>
          </w:p>
        </w:tc>
        <w:tc>
          <w:tcPr>
            <w:tcW w:w="900" w:type="dxa"/>
            <w:tcBorders>
              <w:top w:val="thinThickLargeGap" w:sz="24" w:space="0" w:color="auto"/>
              <w:left w:val="nil"/>
              <w:bottom w:val="single" w:sz="4" w:space="0" w:color="auto"/>
              <w:right w:val="nil"/>
            </w:tcBorders>
          </w:tcPr>
          <w:p w14:paraId="0E8CD1FD"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3,985</w:t>
            </w:r>
          </w:p>
        </w:tc>
        <w:tc>
          <w:tcPr>
            <w:tcW w:w="1170" w:type="dxa"/>
            <w:tcBorders>
              <w:top w:val="thinThickLargeGap" w:sz="24" w:space="0" w:color="auto"/>
              <w:left w:val="nil"/>
              <w:bottom w:val="single" w:sz="4" w:space="0" w:color="auto"/>
              <w:right w:val="nil"/>
            </w:tcBorders>
          </w:tcPr>
          <w:p w14:paraId="4B60819F"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25.3</w:t>
            </w:r>
          </w:p>
        </w:tc>
        <w:tc>
          <w:tcPr>
            <w:tcW w:w="1260" w:type="dxa"/>
            <w:tcBorders>
              <w:top w:val="thinThickLargeGap" w:sz="24" w:space="0" w:color="auto"/>
              <w:left w:val="nil"/>
              <w:bottom w:val="single" w:sz="4" w:space="0" w:color="auto"/>
              <w:right w:val="nil"/>
            </w:tcBorders>
          </w:tcPr>
          <w:p w14:paraId="50598445"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12.7</w:t>
            </w:r>
          </w:p>
        </w:tc>
        <w:tc>
          <w:tcPr>
            <w:tcW w:w="1350" w:type="dxa"/>
            <w:tcBorders>
              <w:top w:val="thinThickLargeGap" w:sz="24" w:space="0" w:color="auto"/>
              <w:left w:val="nil"/>
              <w:bottom w:val="single" w:sz="4" w:space="0" w:color="auto"/>
              <w:right w:val="nil"/>
            </w:tcBorders>
          </w:tcPr>
          <w:p w14:paraId="15342296"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8.6</w:t>
            </w:r>
          </w:p>
        </w:tc>
        <w:tc>
          <w:tcPr>
            <w:tcW w:w="1080" w:type="dxa"/>
            <w:tcBorders>
              <w:top w:val="thinThickLargeGap" w:sz="24" w:space="0" w:color="auto"/>
              <w:left w:val="nil"/>
              <w:bottom w:val="single" w:sz="4" w:space="0" w:color="auto"/>
              <w:right w:val="nil"/>
            </w:tcBorders>
          </w:tcPr>
          <w:p w14:paraId="0C1F8DF7"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3.4</w:t>
            </w:r>
          </w:p>
        </w:tc>
        <w:tc>
          <w:tcPr>
            <w:tcW w:w="1620" w:type="dxa"/>
            <w:tcBorders>
              <w:top w:val="thinThickLargeGap" w:sz="24" w:space="0" w:color="auto"/>
              <w:left w:val="nil"/>
              <w:bottom w:val="single" w:sz="4" w:space="0" w:color="auto"/>
              <w:right w:val="single" w:sz="4" w:space="0" w:color="auto"/>
            </w:tcBorders>
          </w:tcPr>
          <w:p w14:paraId="3195FC6C"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Dane, WI</w:t>
            </w:r>
          </w:p>
        </w:tc>
      </w:tr>
      <w:tr w:rsidR="00126EE3" w:rsidRPr="006A6576" w14:paraId="6C45D202" w14:textId="77777777" w:rsidTr="008964BB">
        <w:tc>
          <w:tcPr>
            <w:tcW w:w="1188" w:type="dxa"/>
            <w:tcBorders>
              <w:top w:val="single" w:sz="4" w:space="0" w:color="auto"/>
              <w:left w:val="single" w:sz="4" w:space="0" w:color="auto"/>
              <w:bottom w:val="single" w:sz="4" w:space="0" w:color="auto"/>
              <w:right w:val="nil"/>
            </w:tcBorders>
          </w:tcPr>
          <w:p w14:paraId="6E45B3AA" w14:textId="4FB0C56A" w:rsidR="00DB53C1" w:rsidRPr="006A6576" w:rsidRDefault="00DB53C1" w:rsidP="002C18D3">
            <w:pPr>
              <w:spacing w:line="360" w:lineRule="auto"/>
              <w:jc w:val="center"/>
              <w:rPr>
                <w:rFonts w:ascii="Times New Roman" w:hAnsi="Times New Roman" w:cs="Times New Roman"/>
                <w:sz w:val="20"/>
                <w:szCs w:val="20"/>
                <w:vertAlign w:val="superscript"/>
              </w:rPr>
            </w:pPr>
            <w:r w:rsidRPr="006A6576">
              <w:rPr>
                <w:rFonts w:ascii="Times New Roman" w:hAnsi="Times New Roman" w:cs="Times New Roman"/>
                <w:sz w:val="20"/>
                <w:szCs w:val="20"/>
              </w:rPr>
              <w:t>Monona</w:t>
            </w:r>
            <w:r w:rsidR="00413671" w:rsidRPr="006A6576">
              <w:rPr>
                <w:rFonts w:ascii="Times New Roman" w:hAnsi="Times New Roman" w:cs="Times New Roman"/>
                <w:sz w:val="20"/>
                <w:szCs w:val="20"/>
                <w:vertAlign w:val="superscript"/>
              </w:rPr>
              <w:t>1</w:t>
            </w:r>
          </w:p>
        </w:tc>
        <w:tc>
          <w:tcPr>
            <w:tcW w:w="900" w:type="dxa"/>
            <w:tcBorders>
              <w:top w:val="single" w:sz="4" w:space="0" w:color="auto"/>
              <w:left w:val="nil"/>
              <w:bottom w:val="single" w:sz="4" w:space="0" w:color="auto"/>
              <w:right w:val="nil"/>
            </w:tcBorders>
          </w:tcPr>
          <w:p w14:paraId="030A65B1"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1,326</w:t>
            </w:r>
          </w:p>
          <w:p w14:paraId="40EBDE30" w14:textId="77777777" w:rsidR="00DB53C1" w:rsidRPr="006A6576" w:rsidRDefault="00DB53C1" w:rsidP="002C18D3">
            <w:pPr>
              <w:spacing w:line="360" w:lineRule="auto"/>
              <w:jc w:val="center"/>
              <w:rPr>
                <w:rFonts w:ascii="Times New Roman" w:hAnsi="Times New Roman" w:cs="Times New Roman"/>
                <w:sz w:val="20"/>
                <w:szCs w:val="20"/>
              </w:rPr>
            </w:pPr>
          </w:p>
        </w:tc>
        <w:tc>
          <w:tcPr>
            <w:tcW w:w="1170" w:type="dxa"/>
            <w:tcBorders>
              <w:top w:val="single" w:sz="4" w:space="0" w:color="auto"/>
              <w:left w:val="nil"/>
              <w:bottom w:val="single" w:sz="4" w:space="0" w:color="auto"/>
              <w:right w:val="nil"/>
            </w:tcBorders>
          </w:tcPr>
          <w:p w14:paraId="33B7BBB2"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22.6</w:t>
            </w:r>
          </w:p>
        </w:tc>
        <w:tc>
          <w:tcPr>
            <w:tcW w:w="1260" w:type="dxa"/>
            <w:tcBorders>
              <w:top w:val="single" w:sz="4" w:space="0" w:color="auto"/>
              <w:left w:val="nil"/>
              <w:bottom w:val="single" w:sz="4" w:space="0" w:color="auto"/>
              <w:right w:val="nil"/>
            </w:tcBorders>
          </w:tcPr>
          <w:p w14:paraId="2AA8677E"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8.3</w:t>
            </w:r>
          </w:p>
        </w:tc>
        <w:tc>
          <w:tcPr>
            <w:tcW w:w="1350" w:type="dxa"/>
            <w:tcBorders>
              <w:top w:val="single" w:sz="4" w:space="0" w:color="auto"/>
              <w:left w:val="nil"/>
              <w:bottom w:val="single" w:sz="4" w:space="0" w:color="auto"/>
              <w:right w:val="nil"/>
            </w:tcBorders>
          </w:tcPr>
          <w:p w14:paraId="19971FB9"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8.1</w:t>
            </w:r>
          </w:p>
        </w:tc>
        <w:tc>
          <w:tcPr>
            <w:tcW w:w="1080" w:type="dxa"/>
            <w:tcBorders>
              <w:top w:val="single" w:sz="4" w:space="0" w:color="auto"/>
              <w:left w:val="nil"/>
              <w:bottom w:val="single" w:sz="4" w:space="0" w:color="auto"/>
              <w:right w:val="nil"/>
            </w:tcBorders>
          </w:tcPr>
          <w:p w14:paraId="55A8B29B"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2.4</w:t>
            </w:r>
          </w:p>
        </w:tc>
        <w:tc>
          <w:tcPr>
            <w:tcW w:w="1620" w:type="dxa"/>
            <w:tcBorders>
              <w:top w:val="single" w:sz="4" w:space="0" w:color="auto"/>
              <w:left w:val="nil"/>
              <w:bottom w:val="single" w:sz="4" w:space="0" w:color="auto"/>
              <w:right w:val="single" w:sz="4" w:space="0" w:color="auto"/>
            </w:tcBorders>
          </w:tcPr>
          <w:p w14:paraId="43D8B934"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Dane, WI</w:t>
            </w:r>
          </w:p>
        </w:tc>
      </w:tr>
      <w:tr w:rsidR="00126EE3" w:rsidRPr="006A6576" w14:paraId="7FD9FD60" w14:textId="77777777" w:rsidTr="008964BB">
        <w:tc>
          <w:tcPr>
            <w:tcW w:w="1188" w:type="dxa"/>
            <w:tcBorders>
              <w:top w:val="single" w:sz="4" w:space="0" w:color="auto"/>
              <w:left w:val="single" w:sz="4" w:space="0" w:color="auto"/>
              <w:bottom w:val="single" w:sz="4" w:space="0" w:color="auto"/>
              <w:right w:val="nil"/>
            </w:tcBorders>
          </w:tcPr>
          <w:p w14:paraId="4D9699ED" w14:textId="4A6DA412" w:rsidR="00DB53C1" w:rsidRPr="006A6576" w:rsidRDefault="00DB53C1" w:rsidP="002C18D3">
            <w:pPr>
              <w:spacing w:line="360" w:lineRule="auto"/>
              <w:jc w:val="center"/>
              <w:rPr>
                <w:rFonts w:ascii="Times New Roman" w:hAnsi="Times New Roman" w:cs="Times New Roman"/>
                <w:sz w:val="20"/>
                <w:szCs w:val="20"/>
                <w:vertAlign w:val="superscript"/>
              </w:rPr>
            </w:pPr>
            <w:r w:rsidRPr="006A6576">
              <w:rPr>
                <w:rFonts w:ascii="Times New Roman" w:hAnsi="Times New Roman" w:cs="Times New Roman"/>
                <w:sz w:val="20"/>
                <w:szCs w:val="20"/>
              </w:rPr>
              <w:t>Waubesa</w:t>
            </w:r>
            <w:r w:rsidR="008964BB" w:rsidRPr="006A6576">
              <w:rPr>
                <w:rFonts w:ascii="Times New Roman" w:hAnsi="Times New Roman" w:cs="Times New Roman"/>
                <w:sz w:val="20"/>
                <w:szCs w:val="20"/>
                <w:vertAlign w:val="superscript"/>
              </w:rPr>
              <w:t>1,2</w:t>
            </w:r>
          </w:p>
        </w:tc>
        <w:tc>
          <w:tcPr>
            <w:tcW w:w="900" w:type="dxa"/>
            <w:tcBorders>
              <w:top w:val="single" w:sz="4" w:space="0" w:color="auto"/>
              <w:left w:val="nil"/>
              <w:bottom w:val="single" w:sz="4" w:space="0" w:color="auto"/>
              <w:right w:val="nil"/>
            </w:tcBorders>
          </w:tcPr>
          <w:p w14:paraId="259BF509"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843</w:t>
            </w:r>
          </w:p>
        </w:tc>
        <w:tc>
          <w:tcPr>
            <w:tcW w:w="1170" w:type="dxa"/>
            <w:tcBorders>
              <w:top w:val="single" w:sz="4" w:space="0" w:color="auto"/>
              <w:left w:val="nil"/>
              <w:bottom w:val="single" w:sz="4" w:space="0" w:color="auto"/>
              <w:right w:val="nil"/>
            </w:tcBorders>
          </w:tcPr>
          <w:p w14:paraId="6B142F3C"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11.6</w:t>
            </w:r>
          </w:p>
        </w:tc>
        <w:tc>
          <w:tcPr>
            <w:tcW w:w="1260" w:type="dxa"/>
            <w:tcBorders>
              <w:top w:val="single" w:sz="4" w:space="0" w:color="auto"/>
              <w:left w:val="nil"/>
              <w:bottom w:val="single" w:sz="4" w:space="0" w:color="auto"/>
              <w:right w:val="nil"/>
            </w:tcBorders>
          </w:tcPr>
          <w:p w14:paraId="00651041"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4.7</w:t>
            </w:r>
          </w:p>
        </w:tc>
        <w:tc>
          <w:tcPr>
            <w:tcW w:w="1350" w:type="dxa"/>
            <w:tcBorders>
              <w:top w:val="single" w:sz="4" w:space="0" w:color="auto"/>
              <w:left w:val="nil"/>
              <w:bottom w:val="single" w:sz="4" w:space="0" w:color="auto"/>
              <w:right w:val="nil"/>
            </w:tcBorders>
          </w:tcPr>
          <w:p w14:paraId="402D400A"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10 – 15</w:t>
            </w:r>
          </w:p>
        </w:tc>
        <w:tc>
          <w:tcPr>
            <w:tcW w:w="1080" w:type="dxa"/>
            <w:tcBorders>
              <w:top w:val="single" w:sz="4" w:space="0" w:color="auto"/>
              <w:left w:val="nil"/>
              <w:bottom w:val="single" w:sz="4" w:space="0" w:color="auto"/>
              <w:right w:val="nil"/>
            </w:tcBorders>
          </w:tcPr>
          <w:p w14:paraId="22FEA2D7"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1.2</w:t>
            </w:r>
          </w:p>
        </w:tc>
        <w:tc>
          <w:tcPr>
            <w:tcW w:w="1620" w:type="dxa"/>
            <w:tcBorders>
              <w:top w:val="single" w:sz="4" w:space="0" w:color="auto"/>
              <w:left w:val="nil"/>
              <w:bottom w:val="single" w:sz="4" w:space="0" w:color="auto"/>
              <w:right w:val="single" w:sz="4" w:space="0" w:color="auto"/>
            </w:tcBorders>
          </w:tcPr>
          <w:p w14:paraId="1DB9E6DA"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Dane, WI</w:t>
            </w:r>
          </w:p>
        </w:tc>
      </w:tr>
      <w:tr w:rsidR="00126EE3" w:rsidRPr="006A6576" w14:paraId="62237D99" w14:textId="77777777" w:rsidTr="008964BB">
        <w:trPr>
          <w:trHeight w:val="297"/>
        </w:trPr>
        <w:tc>
          <w:tcPr>
            <w:tcW w:w="1188" w:type="dxa"/>
            <w:tcBorders>
              <w:top w:val="single" w:sz="4" w:space="0" w:color="auto"/>
              <w:left w:val="single" w:sz="4" w:space="0" w:color="auto"/>
              <w:bottom w:val="single" w:sz="4" w:space="0" w:color="auto"/>
              <w:right w:val="nil"/>
            </w:tcBorders>
          </w:tcPr>
          <w:p w14:paraId="68DA5750" w14:textId="7D2BCC7A" w:rsidR="00DB53C1" w:rsidRPr="006A6576" w:rsidRDefault="00DB53C1" w:rsidP="002C18D3">
            <w:pPr>
              <w:spacing w:line="360" w:lineRule="auto"/>
              <w:jc w:val="center"/>
              <w:rPr>
                <w:rFonts w:ascii="Times New Roman" w:hAnsi="Times New Roman" w:cs="Times New Roman"/>
                <w:sz w:val="20"/>
                <w:szCs w:val="20"/>
                <w:vertAlign w:val="superscript"/>
              </w:rPr>
            </w:pPr>
            <w:r w:rsidRPr="006A6576">
              <w:rPr>
                <w:rFonts w:ascii="Times New Roman" w:hAnsi="Times New Roman" w:cs="Times New Roman"/>
                <w:sz w:val="20"/>
                <w:szCs w:val="20"/>
              </w:rPr>
              <w:t>Kegonsa</w:t>
            </w:r>
            <w:r w:rsidR="008964BB" w:rsidRPr="006A6576">
              <w:rPr>
                <w:rFonts w:ascii="Times New Roman" w:hAnsi="Times New Roman" w:cs="Times New Roman"/>
                <w:sz w:val="20"/>
                <w:szCs w:val="20"/>
                <w:vertAlign w:val="superscript"/>
              </w:rPr>
              <w:t>1,2</w:t>
            </w:r>
          </w:p>
        </w:tc>
        <w:tc>
          <w:tcPr>
            <w:tcW w:w="900" w:type="dxa"/>
            <w:tcBorders>
              <w:top w:val="single" w:sz="4" w:space="0" w:color="auto"/>
              <w:left w:val="nil"/>
              <w:bottom w:val="single" w:sz="4" w:space="0" w:color="auto"/>
              <w:right w:val="nil"/>
            </w:tcBorders>
          </w:tcPr>
          <w:p w14:paraId="1B54999E"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1,299</w:t>
            </w:r>
          </w:p>
        </w:tc>
        <w:tc>
          <w:tcPr>
            <w:tcW w:w="1170" w:type="dxa"/>
            <w:tcBorders>
              <w:top w:val="single" w:sz="4" w:space="0" w:color="auto"/>
              <w:left w:val="nil"/>
              <w:bottom w:val="single" w:sz="4" w:space="0" w:color="auto"/>
              <w:right w:val="nil"/>
            </w:tcBorders>
          </w:tcPr>
          <w:p w14:paraId="1795F80D"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9.8</w:t>
            </w:r>
          </w:p>
        </w:tc>
        <w:tc>
          <w:tcPr>
            <w:tcW w:w="1260" w:type="dxa"/>
            <w:tcBorders>
              <w:top w:val="single" w:sz="4" w:space="0" w:color="auto"/>
              <w:left w:val="nil"/>
              <w:bottom w:val="single" w:sz="4" w:space="0" w:color="auto"/>
              <w:right w:val="nil"/>
            </w:tcBorders>
          </w:tcPr>
          <w:p w14:paraId="6F59C04B"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5.1</w:t>
            </w:r>
          </w:p>
        </w:tc>
        <w:tc>
          <w:tcPr>
            <w:tcW w:w="1350" w:type="dxa"/>
            <w:tcBorders>
              <w:top w:val="single" w:sz="4" w:space="0" w:color="auto"/>
              <w:left w:val="nil"/>
              <w:bottom w:val="single" w:sz="4" w:space="0" w:color="auto"/>
              <w:right w:val="nil"/>
            </w:tcBorders>
          </w:tcPr>
          <w:p w14:paraId="6132F894"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18 – 20</w:t>
            </w:r>
          </w:p>
        </w:tc>
        <w:tc>
          <w:tcPr>
            <w:tcW w:w="1080" w:type="dxa"/>
            <w:tcBorders>
              <w:top w:val="single" w:sz="4" w:space="0" w:color="auto"/>
              <w:left w:val="nil"/>
              <w:bottom w:val="single" w:sz="4" w:space="0" w:color="auto"/>
              <w:right w:val="nil"/>
            </w:tcBorders>
          </w:tcPr>
          <w:p w14:paraId="7B771F00"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0.9</w:t>
            </w:r>
          </w:p>
        </w:tc>
        <w:tc>
          <w:tcPr>
            <w:tcW w:w="1620" w:type="dxa"/>
            <w:tcBorders>
              <w:top w:val="single" w:sz="4" w:space="0" w:color="auto"/>
              <w:left w:val="nil"/>
              <w:bottom w:val="single" w:sz="4" w:space="0" w:color="auto"/>
              <w:right w:val="single" w:sz="4" w:space="0" w:color="auto"/>
            </w:tcBorders>
          </w:tcPr>
          <w:p w14:paraId="23ED5004"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Dane, WI</w:t>
            </w:r>
          </w:p>
        </w:tc>
      </w:tr>
      <w:tr w:rsidR="00126EE3" w:rsidRPr="006A6576" w14:paraId="59A2442A" w14:textId="77777777" w:rsidTr="008964BB">
        <w:trPr>
          <w:trHeight w:val="180"/>
        </w:trPr>
        <w:tc>
          <w:tcPr>
            <w:tcW w:w="1188" w:type="dxa"/>
            <w:tcBorders>
              <w:top w:val="single" w:sz="4" w:space="0" w:color="auto"/>
              <w:left w:val="single" w:sz="4" w:space="0" w:color="auto"/>
              <w:bottom w:val="single" w:sz="4" w:space="0" w:color="auto"/>
              <w:right w:val="nil"/>
            </w:tcBorders>
          </w:tcPr>
          <w:p w14:paraId="06962FC0" w14:textId="4A022247" w:rsidR="00DB53C1" w:rsidRPr="006A6576" w:rsidRDefault="00DB53C1" w:rsidP="002C18D3">
            <w:pPr>
              <w:spacing w:line="360" w:lineRule="auto"/>
              <w:jc w:val="center"/>
              <w:rPr>
                <w:rFonts w:ascii="Times New Roman" w:hAnsi="Times New Roman" w:cs="Times New Roman"/>
                <w:sz w:val="20"/>
                <w:szCs w:val="20"/>
                <w:vertAlign w:val="superscript"/>
              </w:rPr>
            </w:pPr>
            <w:r w:rsidRPr="006A6576">
              <w:rPr>
                <w:rFonts w:ascii="Times New Roman" w:hAnsi="Times New Roman" w:cs="Times New Roman"/>
                <w:sz w:val="20"/>
                <w:szCs w:val="20"/>
              </w:rPr>
              <w:t>Stormy</w:t>
            </w:r>
            <w:r w:rsidR="008964BB" w:rsidRPr="006A6576">
              <w:rPr>
                <w:rFonts w:ascii="Times New Roman" w:hAnsi="Times New Roman" w:cs="Times New Roman"/>
                <w:sz w:val="20"/>
                <w:szCs w:val="20"/>
                <w:vertAlign w:val="superscript"/>
              </w:rPr>
              <w:t>3</w:t>
            </w:r>
          </w:p>
        </w:tc>
        <w:tc>
          <w:tcPr>
            <w:tcW w:w="900" w:type="dxa"/>
            <w:tcBorders>
              <w:top w:val="single" w:sz="4" w:space="0" w:color="auto"/>
              <w:left w:val="nil"/>
              <w:bottom w:val="single" w:sz="4" w:space="0" w:color="auto"/>
              <w:right w:val="nil"/>
            </w:tcBorders>
          </w:tcPr>
          <w:p w14:paraId="4AB29212"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211</w:t>
            </w:r>
          </w:p>
        </w:tc>
        <w:tc>
          <w:tcPr>
            <w:tcW w:w="1170" w:type="dxa"/>
            <w:tcBorders>
              <w:top w:val="single" w:sz="4" w:space="0" w:color="auto"/>
              <w:left w:val="nil"/>
              <w:bottom w:val="single" w:sz="4" w:space="0" w:color="auto"/>
              <w:right w:val="nil"/>
            </w:tcBorders>
          </w:tcPr>
          <w:p w14:paraId="3F9A94A8"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19.2</w:t>
            </w:r>
          </w:p>
        </w:tc>
        <w:tc>
          <w:tcPr>
            <w:tcW w:w="1260" w:type="dxa"/>
            <w:tcBorders>
              <w:top w:val="single" w:sz="4" w:space="0" w:color="auto"/>
              <w:left w:val="nil"/>
              <w:bottom w:val="single" w:sz="4" w:space="0" w:color="auto"/>
              <w:right w:val="nil"/>
            </w:tcBorders>
          </w:tcPr>
          <w:p w14:paraId="2845BBE3"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10.1</w:t>
            </w:r>
          </w:p>
          <w:p w14:paraId="1645B88D" w14:textId="77777777" w:rsidR="00DB53C1" w:rsidRPr="006A6576" w:rsidRDefault="00DB53C1" w:rsidP="002C18D3">
            <w:pPr>
              <w:spacing w:line="360" w:lineRule="auto"/>
              <w:jc w:val="center"/>
              <w:rPr>
                <w:rFonts w:ascii="Times New Roman" w:hAnsi="Times New Roman" w:cs="Times New Roman"/>
                <w:sz w:val="20"/>
                <w:szCs w:val="20"/>
              </w:rPr>
            </w:pPr>
          </w:p>
        </w:tc>
        <w:tc>
          <w:tcPr>
            <w:tcW w:w="1350" w:type="dxa"/>
            <w:tcBorders>
              <w:top w:val="single" w:sz="4" w:space="0" w:color="auto"/>
              <w:left w:val="nil"/>
              <w:bottom w:val="single" w:sz="4" w:space="0" w:color="auto"/>
              <w:right w:val="nil"/>
            </w:tcBorders>
          </w:tcPr>
          <w:p w14:paraId="0BC5BED6" w14:textId="6AA993FD"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NA</w:t>
            </w:r>
          </w:p>
        </w:tc>
        <w:tc>
          <w:tcPr>
            <w:tcW w:w="1080" w:type="dxa"/>
            <w:tcBorders>
              <w:top w:val="single" w:sz="4" w:space="0" w:color="auto"/>
              <w:left w:val="nil"/>
              <w:bottom w:val="single" w:sz="4" w:space="0" w:color="auto"/>
              <w:right w:val="nil"/>
            </w:tcBorders>
          </w:tcPr>
          <w:p w14:paraId="3C36C167" w14:textId="5672C00F"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8.0</w:t>
            </w:r>
          </w:p>
        </w:tc>
        <w:tc>
          <w:tcPr>
            <w:tcW w:w="1620" w:type="dxa"/>
            <w:tcBorders>
              <w:top w:val="single" w:sz="4" w:space="0" w:color="auto"/>
              <w:left w:val="nil"/>
              <w:bottom w:val="single" w:sz="4" w:space="0" w:color="auto"/>
              <w:right w:val="single" w:sz="4" w:space="0" w:color="auto"/>
            </w:tcBorders>
          </w:tcPr>
          <w:p w14:paraId="1BA665F6"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Vilas, WI</w:t>
            </w:r>
          </w:p>
        </w:tc>
      </w:tr>
      <w:tr w:rsidR="00126EE3" w:rsidRPr="006A6576" w14:paraId="33FC4114" w14:textId="77777777" w:rsidTr="008964BB">
        <w:trPr>
          <w:trHeight w:val="441"/>
        </w:trPr>
        <w:tc>
          <w:tcPr>
            <w:tcW w:w="1188" w:type="dxa"/>
            <w:tcBorders>
              <w:top w:val="single" w:sz="4" w:space="0" w:color="auto"/>
              <w:left w:val="single" w:sz="4" w:space="0" w:color="auto"/>
              <w:bottom w:val="single" w:sz="4" w:space="0" w:color="auto"/>
              <w:right w:val="nil"/>
            </w:tcBorders>
          </w:tcPr>
          <w:p w14:paraId="411DE922" w14:textId="36EC9927" w:rsidR="00DB53C1" w:rsidRPr="006A6576" w:rsidRDefault="00DB53C1" w:rsidP="002C18D3">
            <w:pPr>
              <w:spacing w:line="360" w:lineRule="auto"/>
              <w:jc w:val="center"/>
              <w:rPr>
                <w:rFonts w:ascii="Times New Roman" w:hAnsi="Times New Roman" w:cs="Times New Roman"/>
                <w:sz w:val="20"/>
                <w:szCs w:val="20"/>
                <w:vertAlign w:val="superscript"/>
              </w:rPr>
            </w:pPr>
            <w:r w:rsidRPr="006A6576">
              <w:rPr>
                <w:rFonts w:ascii="Times New Roman" w:hAnsi="Times New Roman" w:cs="Times New Roman"/>
                <w:sz w:val="20"/>
                <w:szCs w:val="20"/>
              </w:rPr>
              <w:t>Gile Flowage</w:t>
            </w:r>
            <w:r w:rsidR="008964BB" w:rsidRPr="006A6576">
              <w:rPr>
                <w:rFonts w:ascii="Times New Roman" w:hAnsi="Times New Roman" w:cs="Times New Roman"/>
                <w:sz w:val="20"/>
                <w:szCs w:val="20"/>
                <w:vertAlign w:val="superscript"/>
              </w:rPr>
              <w:t>3</w:t>
            </w:r>
          </w:p>
        </w:tc>
        <w:tc>
          <w:tcPr>
            <w:tcW w:w="900" w:type="dxa"/>
            <w:tcBorders>
              <w:top w:val="single" w:sz="4" w:space="0" w:color="auto"/>
              <w:left w:val="nil"/>
              <w:bottom w:val="single" w:sz="4" w:space="0" w:color="auto"/>
              <w:right w:val="nil"/>
            </w:tcBorders>
          </w:tcPr>
          <w:p w14:paraId="33858A14"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1,369</w:t>
            </w:r>
          </w:p>
        </w:tc>
        <w:tc>
          <w:tcPr>
            <w:tcW w:w="1170" w:type="dxa"/>
            <w:tcBorders>
              <w:top w:val="single" w:sz="4" w:space="0" w:color="auto"/>
              <w:left w:val="nil"/>
              <w:bottom w:val="single" w:sz="4" w:space="0" w:color="auto"/>
              <w:right w:val="nil"/>
            </w:tcBorders>
          </w:tcPr>
          <w:p w14:paraId="250EFB1B"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8.2</w:t>
            </w:r>
          </w:p>
        </w:tc>
        <w:tc>
          <w:tcPr>
            <w:tcW w:w="1260" w:type="dxa"/>
            <w:tcBorders>
              <w:top w:val="single" w:sz="4" w:space="0" w:color="auto"/>
              <w:left w:val="nil"/>
              <w:bottom w:val="single" w:sz="4" w:space="0" w:color="auto"/>
              <w:right w:val="nil"/>
            </w:tcBorders>
          </w:tcPr>
          <w:p w14:paraId="4AC40C7B" w14:textId="23B998E7" w:rsidR="00DB53C1" w:rsidRPr="006A6576" w:rsidRDefault="008D56E4"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NA</w:t>
            </w:r>
          </w:p>
        </w:tc>
        <w:tc>
          <w:tcPr>
            <w:tcW w:w="1350" w:type="dxa"/>
            <w:tcBorders>
              <w:top w:val="single" w:sz="4" w:space="0" w:color="auto"/>
              <w:left w:val="nil"/>
              <w:bottom w:val="single" w:sz="4" w:space="0" w:color="auto"/>
              <w:right w:val="nil"/>
            </w:tcBorders>
          </w:tcPr>
          <w:p w14:paraId="5E1FA412" w14:textId="0941AE19"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NA</w:t>
            </w:r>
          </w:p>
        </w:tc>
        <w:tc>
          <w:tcPr>
            <w:tcW w:w="1080" w:type="dxa"/>
            <w:tcBorders>
              <w:top w:val="single" w:sz="4" w:space="0" w:color="auto"/>
              <w:left w:val="nil"/>
              <w:bottom w:val="single" w:sz="4" w:space="0" w:color="auto"/>
              <w:right w:val="nil"/>
            </w:tcBorders>
          </w:tcPr>
          <w:p w14:paraId="7EE63B20" w14:textId="37C097D9"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1.6</w:t>
            </w:r>
          </w:p>
        </w:tc>
        <w:tc>
          <w:tcPr>
            <w:tcW w:w="1620" w:type="dxa"/>
            <w:tcBorders>
              <w:top w:val="single" w:sz="4" w:space="0" w:color="auto"/>
              <w:left w:val="nil"/>
              <w:bottom w:val="single" w:sz="4" w:space="0" w:color="auto"/>
              <w:right w:val="single" w:sz="4" w:space="0" w:color="auto"/>
            </w:tcBorders>
          </w:tcPr>
          <w:p w14:paraId="61772CBD"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Iron, WI</w:t>
            </w:r>
          </w:p>
        </w:tc>
      </w:tr>
      <w:tr w:rsidR="00126EE3" w:rsidRPr="006A6576" w14:paraId="75B8ED84" w14:textId="77777777" w:rsidTr="008964BB">
        <w:trPr>
          <w:trHeight w:val="468"/>
        </w:trPr>
        <w:tc>
          <w:tcPr>
            <w:tcW w:w="1188" w:type="dxa"/>
            <w:tcBorders>
              <w:top w:val="single" w:sz="4" w:space="0" w:color="auto"/>
              <w:left w:val="single" w:sz="4" w:space="0" w:color="auto"/>
              <w:right w:val="nil"/>
            </w:tcBorders>
          </w:tcPr>
          <w:p w14:paraId="6F595DC0" w14:textId="5EDC8E5D" w:rsidR="00DB53C1" w:rsidRPr="006A6576" w:rsidRDefault="00DB53C1" w:rsidP="002C18D3">
            <w:pPr>
              <w:spacing w:line="360" w:lineRule="auto"/>
              <w:jc w:val="center"/>
              <w:rPr>
                <w:rFonts w:ascii="Times New Roman" w:hAnsi="Times New Roman" w:cs="Times New Roman"/>
                <w:sz w:val="20"/>
                <w:szCs w:val="20"/>
                <w:vertAlign w:val="superscript"/>
              </w:rPr>
            </w:pPr>
            <w:r w:rsidRPr="006A6576">
              <w:rPr>
                <w:rFonts w:ascii="Times New Roman" w:hAnsi="Times New Roman" w:cs="Times New Roman"/>
                <w:sz w:val="20"/>
                <w:szCs w:val="20"/>
              </w:rPr>
              <w:t>Gogebic</w:t>
            </w:r>
            <w:r w:rsidR="008964BB" w:rsidRPr="006A6576">
              <w:rPr>
                <w:rFonts w:ascii="Times New Roman" w:hAnsi="Times New Roman" w:cs="Times New Roman"/>
                <w:sz w:val="20"/>
                <w:szCs w:val="20"/>
                <w:vertAlign w:val="superscript"/>
              </w:rPr>
              <w:t>4</w:t>
            </w:r>
          </w:p>
        </w:tc>
        <w:tc>
          <w:tcPr>
            <w:tcW w:w="900" w:type="dxa"/>
            <w:tcBorders>
              <w:top w:val="single" w:sz="4" w:space="0" w:color="auto"/>
              <w:left w:val="nil"/>
              <w:right w:val="nil"/>
            </w:tcBorders>
          </w:tcPr>
          <w:p w14:paraId="526E8583"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5,414</w:t>
            </w:r>
          </w:p>
        </w:tc>
        <w:tc>
          <w:tcPr>
            <w:tcW w:w="1170" w:type="dxa"/>
            <w:tcBorders>
              <w:top w:val="single" w:sz="4" w:space="0" w:color="auto"/>
              <w:left w:val="nil"/>
              <w:right w:val="nil"/>
            </w:tcBorders>
          </w:tcPr>
          <w:p w14:paraId="7504C8AE"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12.0</w:t>
            </w:r>
          </w:p>
        </w:tc>
        <w:tc>
          <w:tcPr>
            <w:tcW w:w="1260" w:type="dxa"/>
            <w:tcBorders>
              <w:top w:val="single" w:sz="4" w:space="0" w:color="auto"/>
              <w:left w:val="nil"/>
              <w:right w:val="nil"/>
            </w:tcBorders>
          </w:tcPr>
          <w:p w14:paraId="5393B019"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5.3</w:t>
            </w:r>
          </w:p>
        </w:tc>
        <w:tc>
          <w:tcPr>
            <w:tcW w:w="1350" w:type="dxa"/>
            <w:tcBorders>
              <w:top w:val="single" w:sz="4" w:space="0" w:color="auto"/>
              <w:left w:val="nil"/>
              <w:right w:val="nil"/>
            </w:tcBorders>
          </w:tcPr>
          <w:p w14:paraId="63D796B5" w14:textId="33036154" w:rsidR="00DB53C1" w:rsidRPr="006A6576" w:rsidRDefault="008D56E4"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NA</w:t>
            </w:r>
          </w:p>
        </w:tc>
        <w:tc>
          <w:tcPr>
            <w:tcW w:w="1080" w:type="dxa"/>
            <w:tcBorders>
              <w:top w:val="single" w:sz="4" w:space="0" w:color="auto"/>
              <w:left w:val="nil"/>
              <w:right w:val="nil"/>
            </w:tcBorders>
          </w:tcPr>
          <w:p w14:paraId="60BD7F9C" w14:textId="39DC2F06" w:rsidR="00DB53C1" w:rsidRPr="006A6576" w:rsidRDefault="008D56E4"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NA</w:t>
            </w:r>
          </w:p>
        </w:tc>
        <w:tc>
          <w:tcPr>
            <w:tcW w:w="1620" w:type="dxa"/>
            <w:tcBorders>
              <w:top w:val="single" w:sz="4" w:space="0" w:color="auto"/>
              <w:left w:val="nil"/>
              <w:right w:val="single" w:sz="4" w:space="0" w:color="auto"/>
            </w:tcBorders>
          </w:tcPr>
          <w:p w14:paraId="60D5660D" w14:textId="77777777" w:rsidR="00DB53C1" w:rsidRPr="006A6576" w:rsidRDefault="00DB53C1" w:rsidP="002C18D3">
            <w:pPr>
              <w:spacing w:line="360" w:lineRule="auto"/>
              <w:jc w:val="center"/>
              <w:rPr>
                <w:rFonts w:ascii="Times New Roman" w:hAnsi="Times New Roman" w:cs="Times New Roman"/>
                <w:sz w:val="20"/>
                <w:szCs w:val="20"/>
              </w:rPr>
            </w:pPr>
            <w:r w:rsidRPr="006A6576">
              <w:rPr>
                <w:rFonts w:ascii="Times New Roman" w:hAnsi="Times New Roman" w:cs="Times New Roman"/>
                <w:sz w:val="20"/>
                <w:szCs w:val="20"/>
              </w:rPr>
              <w:t>Ontonagon &amp; Gogebic, MI</w:t>
            </w:r>
          </w:p>
        </w:tc>
      </w:tr>
    </w:tbl>
    <w:p w14:paraId="552B6A72" w14:textId="58072254" w:rsidR="00DB53C1" w:rsidRPr="006A6576" w:rsidRDefault="00DB53C1" w:rsidP="002C18D3">
      <w:pPr>
        <w:pBdr>
          <w:bottom w:val="single" w:sz="12" w:space="1" w:color="auto"/>
        </w:pBdr>
        <w:spacing w:line="360" w:lineRule="auto"/>
        <w:rPr>
          <w:rFonts w:ascii="Times New Roman" w:hAnsi="Times New Roman" w:cs="Times New Roman"/>
          <w:vertAlign w:val="superscript"/>
        </w:rPr>
      </w:pPr>
      <w:r w:rsidRPr="006A6576">
        <w:rPr>
          <w:rFonts w:ascii="Times New Roman" w:hAnsi="Times New Roman" w:cs="Times New Roman"/>
        </w:rPr>
        <w:t>Table 1.  Study l</w:t>
      </w:r>
      <w:r w:rsidR="008D56E4" w:rsidRPr="006A6576">
        <w:rPr>
          <w:rFonts w:ascii="Times New Roman" w:hAnsi="Times New Roman" w:cs="Times New Roman"/>
        </w:rPr>
        <w:t>akes and relevant information.  Lake</w:t>
      </w:r>
      <w:r w:rsidR="004A2628" w:rsidRPr="006A6576">
        <w:rPr>
          <w:rFonts w:ascii="Times New Roman" w:hAnsi="Times New Roman" w:cs="Times New Roman"/>
        </w:rPr>
        <w:t>s Gogebic, Monona, Waubesa, Kegonsa and the Gile Flowage are</w:t>
      </w:r>
      <w:r w:rsidR="008D56E4" w:rsidRPr="006A6576">
        <w:rPr>
          <w:rFonts w:ascii="Times New Roman" w:hAnsi="Times New Roman" w:cs="Times New Roman"/>
        </w:rPr>
        <w:t xml:space="preserve"> considered eutrophic.</w:t>
      </w:r>
      <w:r w:rsidR="004A2628" w:rsidRPr="006A6576">
        <w:rPr>
          <w:rFonts w:ascii="Times New Roman" w:hAnsi="Times New Roman" w:cs="Times New Roman"/>
        </w:rPr>
        <w:t xml:space="preserve">  Lake Mendota is mesotrophic to eutrophic depending on the rate phosphorus loading into the lake and Stormy Lake is highly oligotrophic.</w:t>
      </w:r>
      <w:r w:rsidR="008964BB" w:rsidRPr="006A6576">
        <w:rPr>
          <w:rFonts w:ascii="Times New Roman" w:hAnsi="Times New Roman" w:cs="Times New Roman"/>
        </w:rPr>
        <w:t xml:space="preserve">  [1] NTL-LTER;</w:t>
      </w:r>
      <w:r w:rsidR="00413671" w:rsidRPr="006A6576">
        <w:rPr>
          <w:rFonts w:ascii="Times New Roman" w:hAnsi="Times New Roman" w:cs="Times New Roman"/>
        </w:rPr>
        <w:t xml:space="preserve"> [2] </w:t>
      </w:r>
      <w:r w:rsidR="008964BB" w:rsidRPr="006A6576">
        <w:rPr>
          <w:rFonts w:ascii="Times New Roman" w:hAnsi="Times New Roman" w:cs="Times New Roman"/>
        </w:rPr>
        <w:t>Lathrop, 1988; [3] WI-DNR; [4] MI-DNR</w:t>
      </w:r>
    </w:p>
    <w:p w14:paraId="15C0594D" w14:textId="77777777" w:rsidR="0099267A" w:rsidRDefault="0099267A" w:rsidP="002C18D3">
      <w:pPr>
        <w:spacing w:line="360" w:lineRule="auto"/>
        <w:rPr>
          <w:rFonts w:ascii="Times New Roman" w:hAnsi="Times New Roman" w:cs="Times New Roman"/>
        </w:rPr>
      </w:pPr>
    </w:p>
    <w:p w14:paraId="1DFE47EA" w14:textId="77777777" w:rsidR="002C18D3" w:rsidRPr="006A6576" w:rsidRDefault="002C18D3" w:rsidP="002C18D3">
      <w:pPr>
        <w:spacing w:line="360" w:lineRule="auto"/>
        <w:rPr>
          <w:rFonts w:ascii="Times New Roman" w:hAnsi="Times New Roman" w:cs="Times New Roman"/>
        </w:rPr>
      </w:pPr>
    </w:p>
    <w:p w14:paraId="0B9AB616" w14:textId="635E0C3A" w:rsidR="0099267A" w:rsidRPr="006A6576" w:rsidRDefault="0099267A" w:rsidP="002C18D3">
      <w:pPr>
        <w:spacing w:line="360" w:lineRule="auto"/>
        <w:rPr>
          <w:rFonts w:ascii="Times New Roman" w:hAnsi="Times New Roman" w:cs="Times New Roman"/>
        </w:rPr>
      </w:pPr>
      <w:r w:rsidRPr="006A6576">
        <w:rPr>
          <w:rFonts w:ascii="Times New Roman" w:hAnsi="Times New Roman" w:cs="Times New Roman"/>
          <w:i/>
        </w:rPr>
        <w:t>The Yahara Chain of Lakes</w:t>
      </w:r>
      <w:r w:rsidRPr="006A6576">
        <w:rPr>
          <w:rFonts w:ascii="Times New Roman" w:hAnsi="Times New Roman" w:cs="Times New Roman"/>
        </w:rPr>
        <w:t xml:space="preserve"> – </w:t>
      </w:r>
      <w:r w:rsidR="00597F87" w:rsidRPr="006A6576">
        <w:rPr>
          <w:rFonts w:ascii="Times New Roman" w:hAnsi="Times New Roman" w:cs="Times New Roman"/>
        </w:rPr>
        <w:t xml:space="preserve">The Yahara River flows into Lake Mendota from the north connecting it to Lakes Monona, Waubesa and Kegonsa to the south.  </w:t>
      </w:r>
      <w:r w:rsidR="00397D5B" w:rsidRPr="006A6576">
        <w:rPr>
          <w:rFonts w:ascii="Times New Roman" w:hAnsi="Times New Roman" w:cs="Times New Roman"/>
        </w:rPr>
        <w:t xml:space="preserve">The spiny water flea was first detected in these lakes in the summer of 2009.  Lake Mendota </w:t>
      </w:r>
      <w:r w:rsidR="006A0AA0">
        <w:rPr>
          <w:rFonts w:ascii="Times New Roman" w:hAnsi="Times New Roman" w:cs="Times New Roman"/>
        </w:rPr>
        <w:t>supports</w:t>
      </w:r>
      <w:r w:rsidR="00397D5B" w:rsidRPr="006A6576">
        <w:rPr>
          <w:rFonts w:ascii="Times New Roman" w:hAnsi="Times New Roman" w:cs="Times New Roman"/>
        </w:rPr>
        <w:t xml:space="preserve"> the most abundant population of spiny water flea</w:t>
      </w:r>
      <w:r w:rsidRPr="006A6576">
        <w:rPr>
          <w:rFonts w:ascii="Times New Roman" w:hAnsi="Times New Roman" w:cs="Times New Roman"/>
        </w:rPr>
        <w:t xml:space="preserve"> </w:t>
      </w:r>
      <w:r w:rsidR="00397D5B" w:rsidRPr="006A6576">
        <w:rPr>
          <w:rFonts w:ascii="Times New Roman" w:hAnsi="Times New Roman" w:cs="Times New Roman"/>
        </w:rPr>
        <w:t xml:space="preserve">in its entire </w:t>
      </w:r>
      <w:r w:rsidR="006A0AA0">
        <w:rPr>
          <w:rFonts w:ascii="Times New Roman" w:hAnsi="Times New Roman" w:cs="Times New Roman"/>
        </w:rPr>
        <w:t>invaded or native ranges</w:t>
      </w:r>
      <w:r w:rsidR="002C18D3">
        <w:rPr>
          <w:rFonts w:ascii="Times New Roman" w:hAnsi="Times New Roman" w:cs="Times New Roman"/>
        </w:rPr>
        <w:t>, reaching densities of over 1,500 individuals/m</w:t>
      </w:r>
      <w:r w:rsidR="002C18D3" w:rsidRPr="002C18D3">
        <w:rPr>
          <w:rFonts w:ascii="Times New Roman" w:hAnsi="Times New Roman" w:cs="Times New Roman"/>
          <w:vertAlign w:val="superscript"/>
        </w:rPr>
        <w:t>3</w:t>
      </w:r>
      <w:r w:rsidR="00397D5B" w:rsidRPr="006A6576">
        <w:rPr>
          <w:rFonts w:ascii="Times New Roman" w:hAnsi="Times New Roman" w:cs="Times New Roman"/>
        </w:rPr>
        <w:t xml:space="preserve">. </w:t>
      </w:r>
      <w:r w:rsidR="006A0AA0">
        <w:rPr>
          <w:rFonts w:ascii="Times New Roman" w:hAnsi="Times New Roman" w:cs="Times New Roman"/>
        </w:rPr>
        <w:t>Spiny water flea</w:t>
      </w:r>
      <w:r w:rsidR="00397D5B" w:rsidRPr="006A6576">
        <w:rPr>
          <w:rFonts w:ascii="Times New Roman" w:hAnsi="Times New Roman" w:cs="Times New Roman"/>
        </w:rPr>
        <w:t xml:space="preserve"> is much less abundant in Lake Monona</w:t>
      </w:r>
      <w:r w:rsidR="006A0AA0">
        <w:rPr>
          <w:rFonts w:ascii="Times New Roman" w:hAnsi="Times New Roman" w:cs="Times New Roman"/>
        </w:rPr>
        <w:t>,</w:t>
      </w:r>
      <w:r w:rsidR="00397D5B" w:rsidRPr="006A6576">
        <w:rPr>
          <w:rFonts w:ascii="Times New Roman" w:hAnsi="Times New Roman" w:cs="Times New Roman"/>
        </w:rPr>
        <w:t xml:space="preserve"> and even less abundant in Lakes Waubesa and Kegonsa.  These four lakes provide us with a diverse range of lake characteristics (morphometry, ecology</w:t>
      </w:r>
      <w:r w:rsidR="006A0AA0">
        <w:rPr>
          <w:rFonts w:ascii="Times New Roman" w:hAnsi="Times New Roman" w:cs="Times New Roman"/>
        </w:rPr>
        <w:t>,</w:t>
      </w:r>
      <w:r w:rsidR="00397D5B" w:rsidRPr="006A6576">
        <w:rPr>
          <w:rFonts w:ascii="Times New Roman" w:hAnsi="Times New Roman" w:cs="Times New Roman"/>
        </w:rPr>
        <w:t xml:space="preserve"> and water chemistry) while </w:t>
      </w:r>
      <w:r w:rsidR="006A0AA0">
        <w:rPr>
          <w:rFonts w:ascii="Times New Roman" w:hAnsi="Times New Roman" w:cs="Times New Roman"/>
        </w:rPr>
        <w:t xml:space="preserve">at the same time, the four lakes share a common climatic setting. </w:t>
      </w:r>
    </w:p>
    <w:p w14:paraId="60891007" w14:textId="77777777" w:rsidR="00397D5B" w:rsidRPr="006A6576" w:rsidRDefault="00397D5B" w:rsidP="002C18D3">
      <w:pPr>
        <w:spacing w:line="360" w:lineRule="auto"/>
        <w:rPr>
          <w:rFonts w:ascii="Times New Roman" w:hAnsi="Times New Roman" w:cs="Times New Roman"/>
        </w:rPr>
      </w:pPr>
    </w:p>
    <w:p w14:paraId="0538CE37" w14:textId="10E485AB" w:rsidR="00397D5B" w:rsidRPr="006A6576" w:rsidRDefault="00A864BC" w:rsidP="002C18D3">
      <w:pPr>
        <w:spacing w:line="360" w:lineRule="auto"/>
        <w:rPr>
          <w:rFonts w:ascii="Times New Roman" w:hAnsi="Times New Roman" w:cs="Times New Roman"/>
        </w:rPr>
      </w:pPr>
      <w:r w:rsidRPr="006A6576">
        <w:rPr>
          <w:rFonts w:ascii="Times New Roman" w:hAnsi="Times New Roman" w:cs="Times New Roman"/>
          <w:i/>
        </w:rPr>
        <w:t>The Lakes of Northern WI</w:t>
      </w:r>
      <w:r w:rsidR="00397D5B" w:rsidRPr="006A6576">
        <w:rPr>
          <w:rFonts w:ascii="Times New Roman" w:hAnsi="Times New Roman" w:cs="Times New Roman"/>
        </w:rPr>
        <w:t xml:space="preserve"> – Stormy Lake</w:t>
      </w:r>
      <w:r w:rsidR="007946B9" w:rsidRPr="006A6576">
        <w:rPr>
          <w:rFonts w:ascii="Times New Roman" w:hAnsi="Times New Roman" w:cs="Times New Roman"/>
        </w:rPr>
        <w:t xml:space="preserve"> and the Gile Flowage are located in Northern Wisconsin.</w:t>
      </w:r>
      <w:r w:rsidR="00EE6DCF" w:rsidRPr="006A6576">
        <w:rPr>
          <w:rFonts w:ascii="Times New Roman" w:hAnsi="Times New Roman" w:cs="Times New Roman"/>
        </w:rPr>
        <w:t xml:space="preserve">  The Gile Flowage was the first </w:t>
      </w:r>
      <w:r w:rsidR="009E0583">
        <w:rPr>
          <w:rFonts w:ascii="Times New Roman" w:hAnsi="Times New Roman" w:cs="Times New Roman"/>
        </w:rPr>
        <w:t xml:space="preserve">WI </w:t>
      </w:r>
      <w:r w:rsidR="00EE6DCF" w:rsidRPr="006A6576">
        <w:rPr>
          <w:rFonts w:ascii="Times New Roman" w:hAnsi="Times New Roman" w:cs="Times New Roman"/>
        </w:rPr>
        <w:t>inland</w:t>
      </w:r>
      <w:r w:rsidRPr="006A6576">
        <w:rPr>
          <w:rFonts w:ascii="Times New Roman" w:hAnsi="Times New Roman" w:cs="Times New Roman"/>
        </w:rPr>
        <w:t xml:space="preserve"> lake</w:t>
      </w:r>
      <w:r w:rsidR="00EE6DCF" w:rsidRPr="006A6576">
        <w:rPr>
          <w:rFonts w:ascii="Times New Roman" w:hAnsi="Times New Roman" w:cs="Times New Roman"/>
        </w:rPr>
        <w:t xml:space="preserve"> to be invaded </w:t>
      </w:r>
      <w:r w:rsidR="009E0583">
        <w:rPr>
          <w:rFonts w:ascii="Times New Roman" w:hAnsi="Times New Roman" w:cs="Times New Roman"/>
        </w:rPr>
        <w:t>(</w:t>
      </w:r>
      <w:r w:rsidR="00EE6DCF" w:rsidRPr="006A6576">
        <w:rPr>
          <w:rFonts w:ascii="Times New Roman" w:hAnsi="Times New Roman" w:cs="Times New Roman"/>
        </w:rPr>
        <w:t>2003</w:t>
      </w:r>
      <w:r w:rsidR="009E0583">
        <w:rPr>
          <w:rFonts w:ascii="Times New Roman" w:hAnsi="Times New Roman" w:cs="Times New Roman"/>
        </w:rPr>
        <w:t>)</w:t>
      </w:r>
      <w:r w:rsidR="00EE6DCF" w:rsidRPr="006A6576">
        <w:rPr>
          <w:rFonts w:ascii="Times New Roman" w:hAnsi="Times New Roman" w:cs="Times New Roman"/>
        </w:rPr>
        <w:t xml:space="preserve"> and was monitored by Craig Roesler of the DNR from 2004 – 2008.  Stormy Lake was invaded in </w:t>
      </w:r>
      <w:r w:rsidR="00EE6DCF" w:rsidRPr="006A6576">
        <w:rPr>
          <w:rFonts w:ascii="Times New Roman" w:hAnsi="Times New Roman" w:cs="Times New Roman"/>
        </w:rPr>
        <w:lastRenderedPageBreak/>
        <w:t xml:space="preserve">2007 and </w:t>
      </w:r>
      <w:r w:rsidR="006A0AA0">
        <w:rPr>
          <w:rFonts w:ascii="Times New Roman" w:hAnsi="Times New Roman" w:cs="Times New Roman"/>
        </w:rPr>
        <w:t xml:space="preserve">has </w:t>
      </w:r>
      <w:r w:rsidR="009E0583">
        <w:rPr>
          <w:rFonts w:ascii="Times New Roman" w:hAnsi="Times New Roman" w:cs="Times New Roman"/>
        </w:rPr>
        <w:t xml:space="preserve">since </w:t>
      </w:r>
      <w:r w:rsidR="006A0AA0">
        <w:rPr>
          <w:rFonts w:ascii="Times New Roman" w:hAnsi="Times New Roman" w:cs="Times New Roman"/>
        </w:rPr>
        <w:t>been</w:t>
      </w:r>
      <w:r w:rsidR="00EE6DCF" w:rsidRPr="006A6576">
        <w:rPr>
          <w:rFonts w:ascii="Times New Roman" w:hAnsi="Times New Roman" w:cs="Times New Roman"/>
        </w:rPr>
        <w:t xml:space="preserve"> monitored by the U</w:t>
      </w:r>
      <w:r w:rsidR="00C00AE5" w:rsidRPr="006A6576">
        <w:rPr>
          <w:rFonts w:ascii="Times New Roman" w:hAnsi="Times New Roman" w:cs="Times New Roman"/>
        </w:rPr>
        <w:t xml:space="preserve">W </w:t>
      </w:r>
      <w:r w:rsidR="007D5F43" w:rsidRPr="006A6576">
        <w:rPr>
          <w:rFonts w:ascii="Times New Roman" w:hAnsi="Times New Roman" w:cs="Times New Roman"/>
        </w:rPr>
        <w:t xml:space="preserve">Center for Limnology </w:t>
      </w:r>
      <w:r w:rsidR="00C00AE5" w:rsidRPr="006A6576">
        <w:rPr>
          <w:rFonts w:ascii="Times New Roman" w:hAnsi="Times New Roman" w:cs="Times New Roman"/>
        </w:rPr>
        <w:t xml:space="preserve">Trout Lake Research station. </w:t>
      </w:r>
      <w:r w:rsidR="00EE6DCF" w:rsidRPr="006A6576">
        <w:rPr>
          <w:rFonts w:ascii="Times New Roman" w:hAnsi="Times New Roman" w:cs="Times New Roman"/>
        </w:rPr>
        <w:t>Lake Gogebic</w:t>
      </w:r>
      <w:r w:rsidR="006A5394" w:rsidRPr="006A6576">
        <w:rPr>
          <w:rFonts w:ascii="Times New Roman" w:hAnsi="Times New Roman" w:cs="Times New Roman"/>
        </w:rPr>
        <w:t xml:space="preserve"> </w:t>
      </w:r>
      <w:r w:rsidR="00EE6DCF" w:rsidRPr="006A6576">
        <w:rPr>
          <w:rFonts w:ascii="Times New Roman" w:hAnsi="Times New Roman" w:cs="Times New Roman"/>
        </w:rPr>
        <w:t xml:space="preserve">is the largest inland lake of the </w:t>
      </w:r>
      <w:r w:rsidR="00C00AE5" w:rsidRPr="006A6576">
        <w:rPr>
          <w:rFonts w:ascii="Times New Roman" w:hAnsi="Times New Roman" w:cs="Times New Roman"/>
        </w:rPr>
        <w:t>Upper Peninsula</w:t>
      </w:r>
      <w:r w:rsidR="00EE6DCF" w:rsidRPr="006A6576">
        <w:rPr>
          <w:rFonts w:ascii="Times New Roman" w:hAnsi="Times New Roman" w:cs="Times New Roman"/>
        </w:rPr>
        <w:t xml:space="preserve"> and is highly traffick</w:t>
      </w:r>
      <w:r w:rsidR="00C00AE5" w:rsidRPr="006A6576">
        <w:rPr>
          <w:rFonts w:ascii="Times New Roman" w:hAnsi="Times New Roman" w:cs="Times New Roman"/>
        </w:rPr>
        <w:t xml:space="preserve">ed by lake users.  </w:t>
      </w:r>
      <w:r w:rsidR="00A6679A" w:rsidRPr="006A6576">
        <w:rPr>
          <w:rFonts w:ascii="Times New Roman" w:hAnsi="Times New Roman" w:cs="Times New Roman"/>
        </w:rPr>
        <w:t>S</w:t>
      </w:r>
      <w:r w:rsidR="00C00AE5" w:rsidRPr="006A6576">
        <w:rPr>
          <w:rFonts w:ascii="Times New Roman" w:hAnsi="Times New Roman" w:cs="Times New Roman"/>
        </w:rPr>
        <w:t xml:space="preserve">piny water flea </w:t>
      </w:r>
      <w:r w:rsidR="00A6679A" w:rsidRPr="006A6576">
        <w:rPr>
          <w:rFonts w:ascii="Times New Roman" w:hAnsi="Times New Roman" w:cs="Times New Roman"/>
        </w:rPr>
        <w:t>was reported</w:t>
      </w:r>
      <w:r w:rsidR="00EE6DCF" w:rsidRPr="006A6576">
        <w:rPr>
          <w:rFonts w:ascii="Times New Roman" w:hAnsi="Times New Roman" w:cs="Times New Roman"/>
        </w:rPr>
        <w:t xml:space="preserve"> </w:t>
      </w:r>
      <w:r w:rsidR="00C00AE5" w:rsidRPr="006A6576">
        <w:rPr>
          <w:rFonts w:ascii="Times New Roman" w:hAnsi="Times New Roman" w:cs="Times New Roman"/>
        </w:rPr>
        <w:t>in the mid-late 1990s</w:t>
      </w:r>
      <w:r w:rsidR="00A6679A" w:rsidRPr="006A6576">
        <w:rPr>
          <w:rFonts w:ascii="Times New Roman" w:hAnsi="Times New Roman" w:cs="Times New Roman"/>
        </w:rPr>
        <w:t xml:space="preserve">, and </w:t>
      </w:r>
      <w:r w:rsidR="00C00AE5" w:rsidRPr="006A6576">
        <w:rPr>
          <w:rFonts w:ascii="Times New Roman" w:hAnsi="Times New Roman" w:cs="Times New Roman"/>
        </w:rPr>
        <w:t xml:space="preserve">confirmed </w:t>
      </w:r>
      <w:r w:rsidR="00A6679A" w:rsidRPr="006A6576">
        <w:rPr>
          <w:rFonts w:ascii="Times New Roman" w:hAnsi="Times New Roman" w:cs="Times New Roman"/>
        </w:rPr>
        <w:t xml:space="preserve">in </w:t>
      </w:r>
      <w:r w:rsidR="00C00AE5" w:rsidRPr="006A6576">
        <w:rPr>
          <w:rFonts w:ascii="Times New Roman" w:hAnsi="Times New Roman" w:cs="Times New Roman"/>
        </w:rPr>
        <w:t>2003.  The proxim</w:t>
      </w:r>
      <w:r w:rsidR="009E0583">
        <w:rPr>
          <w:rFonts w:ascii="Times New Roman" w:hAnsi="Times New Roman" w:cs="Times New Roman"/>
        </w:rPr>
        <w:t>ity of Lake Gogebic to WI lakes and</w:t>
      </w:r>
      <w:r w:rsidR="00C00AE5" w:rsidRPr="006A6576">
        <w:rPr>
          <w:rFonts w:ascii="Times New Roman" w:hAnsi="Times New Roman" w:cs="Times New Roman"/>
        </w:rPr>
        <w:t xml:space="preserve"> the </w:t>
      </w:r>
      <w:r w:rsidR="009E0583">
        <w:rPr>
          <w:rFonts w:ascii="Times New Roman" w:hAnsi="Times New Roman" w:cs="Times New Roman"/>
        </w:rPr>
        <w:t>potential</w:t>
      </w:r>
      <w:r w:rsidR="007D5F43" w:rsidRPr="006A6576">
        <w:rPr>
          <w:rFonts w:ascii="Times New Roman" w:hAnsi="Times New Roman" w:cs="Times New Roman"/>
        </w:rPr>
        <w:t xml:space="preserve"> </w:t>
      </w:r>
      <w:r w:rsidR="00C00AE5" w:rsidRPr="006A6576">
        <w:rPr>
          <w:rFonts w:ascii="Times New Roman" w:hAnsi="Times New Roman" w:cs="Times New Roman"/>
        </w:rPr>
        <w:t xml:space="preserve">traffic across the </w:t>
      </w:r>
      <w:r w:rsidR="009E0583">
        <w:rPr>
          <w:rFonts w:ascii="Times New Roman" w:hAnsi="Times New Roman" w:cs="Times New Roman"/>
        </w:rPr>
        <w:t>border by recreational boaters makes this lake of concern to the state.</w:t>
      </w:r>
    </w:p>
    <w:p w14:paraId="3D222BE2" w14:textId="77777777" w:rsidR="00C00AE5" w:rsidRPr="006A6576" w:rsidRDefault="00C00AE5" w:rsidP="002C18D3">
      <w:pPr>
        <w:spacing w:line="360" w:lineRule="auto"/>
        <w:rPr>
          <w:rFonts w:ascii="Times New Roman" w:hAnsi="Times New Roman" w:cs="Times New Roman"/>
        </w:rPr>
      </w:pPr>
    </w:p>
    <w:p w14:paraId="62FA61BA" w14:textId="418C1221" w:rsidR="00C00AE5" w:rsidRPr="006A6576" w:rsidRDefault="00C00AE5" w:rsidP="002C18D3">
      <w:pPr>
        <w:spacing w:line="360" w:lineRule="auto"/>
        <w:rPr>
          <w:rFonts w:ascii="Times New Roman" w:hAnsi="Times New Roman" w:cs="Times New Roman"/>
        </w:rPr>
      </w:pPr>
      <w:r w:rsidRPr="006A6576">
        <w:rPr>
          <w:rFonts w:ascii="Times New Roman" w:hAnsi="Times New Roman" w:cs="Times New Roman"/>
        </w:rPr>
        <w:t>By inco</w:t>
      </w:r>
      <w:r w:rsidR="003708A3" w:rsidRPr="006A6576">
        <w:rPr>
          <w:rFonts w:ascii="Times New Roman" w:hAnsi="Times New Roman" w:cs="Times New Roman"/>
        </w:rPr>
        <w:t xml:space="preserve">rporating </w:t>
      </w:r>
      <w:r w:rsidR="007D5F43" w:rsidRPr="006A6576">
        <w:rPr>
          <w:rFonts w:ascii="Times New Roman" w:hAnsi="Times New Roman" w:cs="Times New Roman"/>
        </w:rPr>
        <w:t>n</w:t>
      </w:r>
      <w:r w:rsidR="003708A3" w:rsidRPr="006A6576">
        <w:rPr>
          <w:rFonts w:ascii="Times New Roman" w:hAnsi="Times New Roman" w:cs="Times New Roman"/>
        </w:rPr>
        <w:t>orthern and</w:t>
      </w:r>
      <w:r w:rsidRPr="006A6576">
        <w:rPr>
          <w:rFonts w:ascii="Times New Roman" w:hAnsi="Times New Roman" w:cs="Times New Roman"/>
        </w:rPr>
        <w:t xml:space="preserve"> </w:t>
      </w:r>
      <w:r w:rsidR="007D5F43" w:rsidRPr="006A6576">
        <w:rPr>
          <w:rFonts w:ascii="Times New Roman" w:hAnsi="Times New Roman" w:cs="Times New Roman"/>
        </w:rPr>
        <w:t>s</w:t>
      </w:r>
      <w:r w:rsidRPr="006A6576">
        <w:rPr>
          <w:rFonts w:ascii="Times New Roman" w:hAnsi="Times New Roman" w:cs="Times New Roman"/>
        </w:rPr>
        <w:t xml:space="preserve">outhern WI lakes into this project we hope to </w:t>
      </w:r>
      <w:r w:rsidR="00CC1F9A" w:rsidRPr="006A6576">
        <w:rPr>
          <w:rFonts w:ascii="Times New Roman" w:hAnsi="Times New Roman" w:cs="Times New Roman"/>
        </w:rPr>
        <w:t>broaden its</w:t>
      </w:r>
      <w:r w:rsidRPr="006A6576">
        <w:rPr>
          <w:rFonts w:ascii="Times New Roman" w:hAnsi="Times New Roman" w:cs="Times New Roman"/>
        </w:rPr>
        <w:t xml:space="preserve"> scientific </w:t>
      </w:r>
      <w:r w:rsidR="00CC1F9A" w:rsidRPr="006A6576">
        <w:rPr>
          <w:rFonts w:ascii="Times New Roman" w:hAnsi="Times New Roman" w:cs="Times New Roman"/>
        </w:rPr>
        <w:t>scope</w:t>
      </w:r>
      <w:r w:rsidR="003649FB" w:rsidRPr="006A6576">
        <w:rPr>
          <w:rFonts w:ascii="Times New Roman" w:hAnsi="Times New Roman" w:cs="Times New Roman"/>
        </w:rPr>
        <w:t xml:space="preserve"> and </w:t>
      </w:r>
      <w:r w:rsidRPr="006A6576">
        <w:rPr>
          <w:rFonts w:ascii="Times New Roman" w:hAnsi="Times New Roman" w:cs="Times New Roman"/>
        </w:rPr>
        <w:t>raise awareness of the spiny water flea on a statewide scale.  With the growing interest in the spiny wa</w:t>
      </w:r>
      <w:r w:rsidR="002A1714">
        <w:rPr>
          <w:rFonts w:ascii="Times New Roman" w:hAnsi="Times New Roman" w:cs="Times New Roman"/>
        </w:rPr>
        <w:t>ter flea from lake associations and DNR managers, we</w:t>
      </w:r>
      <w:r w:rsidRPr="006A6576">
        <w:rPr>
          <w:rFonts w:ascii="Times New Roman" w:hAnsi="Times New Roman" w:cs="Times New Roman"/>
        </w:rPr>
        <w:t xml:space="preserve"> have a unique opportunity to understand and aid others in the understanding of Aquatic Invasive Species </w:t>
      </w:r>
      <w:r w:rsidR="009E0583">
        <w:rPr>
          <w:rFonts w:ascii="Times New Roman" w:hAnsi="Times New Roman" w:cs="Times New Roman"/>
        </w:rPr>
        <w:t>and their impacts</w:t>
      </w:r>
      <w:r w:rsidRPr="006A6576">
        <w:rPr>
          <w:rFonts w:ascii="Times New Roman" w:hAnsi="Times New Roman" w:cs="Times New Roman"/>
        </w:rPr>
        <w:t>.</w:t>
      </w:r>
    </w:p>
    <w:p w14:paraId="46ED93D7" w14:textId="77777777" w:rsidR="006A6576" w:rsidRPr="006A6576" w:rsidRDefault="006A6576" w:rsidP="002C18D3">
      <w:pPr>
        <w:spacing w:line="360" w:lineRule="auto"/>
        <w:rPr>
          <w:rFonts w:ascii="Times New Roman" w:hAnsi="Times New Roman" w:cs="Times New Roman"/>
          <w:b/>
        </w:rPr>
      </w:pPr>
    </w:p>
    <w:p w14:paraId="39C24FFE" w14:textId="47A41C2F" w:rsidR="00A8651C" w:rsidRPr="006A6576" w:rsidRDefault="00A8651C" w:rsidP="002C18D3">
      <w:pPr>
        <w:spacing w:line="360" w:lineRule="auto"/>
        <w:rPr>
          <w:rFonts w:ascii="Times New Roman" w:hAnsi="Times New Roman" w:cs="Times New Roman"/>
          <w:b/>
        </w:rPr>
      </w:pPr>
      <w:r w:rsidRPr="006A6576">
        <w:rPr>
          <w:rFonts w:ascii="Times New Roman" w:hAnsi="Times New Roman" w:cs="Times New Roman"/>
          <w:b/>
        </w:rPr>
        <w:t>Description of problem</w:t>
      </w:r>
      <w:r w:rsidR="00632942">
        <w:rPr>
          <w:rFonts w:ascii="Times New Roman" w:hAnsi="Times New Roman" w:cs="Times New Roman"/>
          <w:b/>
        </w:rPr>
        <w:t>s</w:t>
      </w:r>
      <w:r w:rsidRPr="006A6576">
        <w:rPr>
          <w:rFonts w:ascii="Times New Roman" w:hAnsi="Times New Roman" w:cs="Times New Roman"/>
          <w:b/>
        </w:rPr>
        <w:t xml:space="preserve"> </w:t>
      </w:r>
      <w:r w:rsidR="006A0AA0">
        <w:rPr>
          <w:rFonts w:ascii="Times New Roman" w:hAnsi="Times New Roman" w:cs="Times New Roman"/>
          <w:b/>
        </w:rPr>
        <w:t>addressed</w:t>
      </w:r>
    </w:p>
    <w:p w14:paraId="617EB7A3" w14:textId="69A76099" w:rsidR="00D172E1" w:rsidRPr="006A6576" w:rsidRDefault="00BA1F88" w:rsidP="002C18D3">
      <w:pPr>
        <w:spacing w:line="360" w:lineRule="auto"/>
        <w:rPr>
          <w:rFonts w:ascii="Times New Roman" w:hAnsi="Times New Roman" w:cs="Times New Roman"/>
        </w:rPr>
      </w:pPr>
      <w:r w:rsidRPr="006A6576">
        <w:rPr>
          <w:rFonts w:ascii="Times New Roman" w:hAnsi="Times New Roman" w:cs="Times New Roman"/>
          <w:i/>
        </w:rPr>
        <w:t xml:space="preserve">Ecological Impact </w:t>
      </w:r>
      <w:r w:rsidRPr="006A6576">
        <w:rPr>
          <w:rFonts w:ascii="Times New Roman" w:hAnsi="Times New Roman" w:cs="Times New Roman"/>
        </w:rPr>
        <w:t xml:space="preserve">- </w:t>
      </w:r>
      <w:r w:rsidR="009205C9" w:rsidRPr="006A6576">
        <w:rPr>
          <w:rFonts w:ascii="Times New Roman" w:hAnsi="Times New Roman" w:cs="Times New Roman"/>
        </w:rPr>
        <w:t>Once introduced to a lake, the</w:t>
      </w:r>
      <w:r w:rsidR="00EF73DE" w:rsidRPr="006A6576">
        <w:rPr>
          <w:rFonts w:ascii="Times New Roman" w:hAnsi="Times New Roman" w:cs="Times New Roman"/>
        </w:rPr>
        <w:t xml:space="preserve"> predatory</w:t>
      </w:r>
      <w:r w:rsidR="009205C9" w:rsidRPr="006A6576">
        <w:rPr>
          <w:rFonts w:ascii="Times New Roman" w:hAnsi="Times New Roman" w:cs="Times New Roman"/>
        </w:rPr>
        <w:t xml:space="preserve"> spiny water flea</w:t>
      </w:r>
      <w:r w:rsidR="004A48EF" w:rsidRPr="006A6576">
        <w:rPr>
          <w:rFonts w:ascii="Times New Roman" w:hAnsi="Times New Roman" w:cs="Times New Roman"/>
        </w:rPr>
        <w:t xml:space="preserve"> (</w:t>
      </w:r>
      <w:r w:rsidR="004A48EF" w:rsidRPr="006A6576">
        <w:rPr>
          <w:rFonts w:ascii="Times New Roman" w:hAnsi="Times New Roman" w:cs="Times New Roman"/>
          <w:i/>
        </w:rPr>
        <w:t>Bythotrephes longimanus</w:t>
      </w:r>
      <w:r w:rsidR="004A48EF" w:rsidRPr="006A6576">
        <w:rPr>
          <w:rFonts w:ascii="Times New Roman" w:hAnsi="Times New Roman" w:cs="Times New Roman"/>
        </w:rPr>
        <w:t xml:space="preserve">) </w:t>
      </w:r>
      <w:r w:rsidR="009205C9" w:rsidRPr="006A6576">
        <w:rPr>
          <w:rFonts w:ascii="Times New Roman" w:hAnsi="Times New Roman" w:cs="Times New Roman"/>
        </w:rPr>
        <w:t>can drastically impact the native zooplankton community composition and abundance (Barbiero</w:t>
      </w:r>
      <w:r w:rsidR="001429B3" w:rsidRPr="006A6576">
        <w:rPr>
          <w:rFonts w:ascii="Times New Roman" w:hAnsi="Times New Roman" w:cs="Times New Roman"/>
        </w:rPr>
        <w:t xml:space="preserve"> and Rockwell</w:t>
      </w:r>
      <w:r w:rsidR="009205C9" w:rsidRPr="006A6576">
        <w:rPr>
          <w:rFonts w:ascii="Times New Roman" w:hAnsi="Times New Roman" w:cs="Times New Roman"/>
        </w:rPr>
        <w:t xml:space="preserve"> 2008, Strecker</w:t>
      </w:r>
      <w:r w:rsidR="001429B3" w:rsidRPr="006A6576">
        <w:rPr>
          <w:rFonts w:ascii="Times New Roman" w:hAnsi="Times New Roman" w:cs="Times New Roman"/>
        </w:rPr>
        <w:t xml:space="preserve"> and Arnott</w:t>
      </w:r>
      <w:r w:rsidR="009205C9" w:rsidRPr="006A6576">
        <w:rPr>
          <w:rFonts w:ascii="Times New Roman" w:hAnsi="Times New Roman" w:cs="Times New Roman"/>
        </w:rPr>
        <w:t xml:space="preserve"> 2008, </w:t>
      </w:r>
      <w:r w:rsidR="00EF73DE" w:rsidRPr="006A6576">
        <w:rPr>
          <w:rFonts w:ascii="Times New Roman" w:hAnsi="Times New Roman" w:cs="Times New Roman"/>
        </w:rPr>
        <w:t>Yan</w:t>
      </w:r>
      <w:r w:rsidR="001429B3" w:rsidRPr="006A6576">
        <w:rPr>
          <w:rFonts w:ascii="Times New Roman" w:hAnsi="Times New Roman" w:cs="Times New Roman"/>
        </w:rPr>
        <w:t xml:space="preserve"> and Pawson</w:t>
      </w:r>
      <w:r w:rsidR="00EF73DE" w:rsidRPr="006A6576">
        <w:rPr>
          <w:rFonts w:ascii="Times New Roman" w:hAnsi="Times New Roman" w:cs="Times New Roman"/>
        </w:rPr>
        <w:t xml:space="preserve"> 1997,</w:t>
      </w:r>
      <w:r w:rsidR="001429B3" w:rsidRPr="006A6576">
        <w:rPr>
          <w:rFonts w:ascii="Times New Roman" w:hAnsi="Times New Roman" w:cs="Times New Roman"/>
        </w:rPr>
        <w:t xml:space="preserve"> Walsh unpublished data</w:t>
      </w:r>
      <w:r w:rsidR="00EF73DE" w:rsidRPr="006A6576">
        <w:rPr>
          <w:rFonts w:ascii="Times New Roman" w:hAnsi="Times New Roman" w:cs="Times New Roman"/>
        </w:rPr>
        <w:t>)</w:t>
      </w:r>
      <w:r w:rsidR="009205C9" w:rsidRPr="006A6576">
        <w:rPr>
          <w:rFonts w:ascii="Times New Roman" w:hAnsi="Times New Roman" w:cs="Times New Roman"/>
        </w:rPr>
        <w:t>.</w:t>
      </w:r>
      <w:r w:rsidR="00EF73DE" w:rsidRPr="006A6576">
        <w:rPr>
          <w:rFonts w:ascii="Times New Roman" w:hAnsi="Times New Roman" w:cs="Times New Roman"/>
        </w:rPr>
        <w:t xml:space="preserve">  Impact on algae</w:t>
      </w:r>
      <w:r w:rsidR="003649FB" w:rsidRPr="006A6576">
        <w:rPr>
          <w:rFonts w:ascii="Times New Roman" w:hAnsi="Times New Roman" w:cs="Times New Roman"/>
        </w:rPr>
        <w:t>, water quality,</w:t>
      </w:r>
      <w:r w:rsidR="00EF73DE" w:rsidRPr="006A6576">
        <w:rPr>
          <w:rFonts w:ascii="Times New Roman" w:hAnsi="Times New Roman" w:cs="Times New Roman"/>
        </w:rPr>
        <w:t xml:space="preserve"> and </w:t>
      </w:r>
      <w:r w:rsidR="003649FB" w:rsidRPr="006A6576">
        <w:rPr>
          <w:rFonts w:ascii="Times New Roman" w:hAnsi="Times New Roman" w:cs="Times New Roman"/>
        </w:rPr>
        <w:t xml:space="preserve">the </w:t>
      </w:r>
      <w:r w:rsidR="00EF73DE" w:rsidRPr="006A6576">
        <w:rPr>
          <w:rFonts w:ascii="Times New Roman" w:hAnsi="Times New Roman" w:cs="Times New Roman"/>
        </w:rPr>
        <w:t xml:space="preserve">fish </w:t>
      </w:r>
      <w:r w:rsidR="007D5F43" w:rsidRPr="006A6576">
        <w:rPr>
          <w:rFonts w:ascii="Times New Roman" w:hAnsi="Times New Roman" w:cs="Times New Roman"/>
        </w:rPr>
        <w:t xml:space="preserve">community </w:t>
      </w:r>
      <w:r w:rsidR="00EF73DE" w:rsidRPr="006A6576">
        <w:rPr>
          <w:rFonts w:ascii="Times New Roman" w:hAnsi="Times New Roman" w:cs="Times New Roman"/>
        </w:rPr>
        <w:t xml:space="preserve">hinges on the impact in the zooplankton community.  The spiny water flea consumes native zooplankton, </w:t>
      </w:r>
      <w:r w:rsidR="003649FB" w:rsidRPr="006A6576">
        <w:rPr>
          <w:rFonts w:ascii="Times New Roman" w:hAnsi="Times New Roman" w:cs="Times New Roman"/>
        </w:rPr>
        <w:t xml:space="preserve">thereby </w:t>
      </w:r>
      <w:r w:rsidR="00EF73DE" w:rsidRPr="006A6576">
        <w:rPr>
          <w:rFonts w:ascii="Times New Roman" w:hAnsi="Times New Roman" w:cs="Times New Roman"/>
        </w:rPr>
        <w:t>competing with native zooplanktivorous fish</w:t>
      </w:r>
      <w:r w:rsidR="003649FB" w:rsidRPr="006A6576">
        <w:rPr>
          <w:rFonts w:ascii="Times New Roman" w:hAnsi="Times New Roman" w:cs="Times New Roman"/>
        </w:rPr>
        <w:t>es</w:t>
      </w:r>
      <w:r w:rsidR="00EF73DE" w:rsidRPr="006A6576">
        <w:rPr>
          <w:rFonts w:ascii="Times New Roman" w:hAnsi="Times New Roman" w:cs="Times New Roman"/>
        </w:rPr>
        <w:t>.  The spiny water flea is also a diet item of many fish</w:t>
      </w:r>
      <w:r w:rsidR="003649FB" w:rsidRPr="006A6576">
        <w:rPr>
          <w:rFonts w:ascii="Times New Roman" w:hAnsi="Times New Roman" w:cs="Times New Roman"/>
        </w:rPr>
        <w:t>es</w:t>
      </w:r>
      <w:r w:rsidR="00EF73DE" w:rsidRPr="006A6576">
        <w:rPr>
          <w:rFonts w:ascii="Times New Roman" w:hAnsi="Times New Roman" w:cs="Times New Roman"/>
        </w:rPr>
        <w:t xml:space="preserve"> though its long tail spine deters predation </w:t>
      </w:r>
      <w:r w:rsidR="007D5F43" w:rsidRPr="006A6576">
        <w:rPr>
          <w:rFonts w:ascii="Times New Roman" w:hAnsi="Times New Roman" w:cs="Times New Roman"/>
        </w:rPr>
        <w:t xml:space="preserve">by </w:t>
      </w:r>
      <w:r w:rsidR="00EF73DE" w:rsidRPr="006A6576">
        <w:rPr>
          <w:rFonts w:ascii="Times New Roman" w:hAnsi="Times New Roman" w:cs="Times New Roman"/>
        </w:rPr>
        <w:t>the smallest fish</w:t>
      </w:r>
      <w:r w:rsidR="003649FB" w:rsidRPr="006A6576">
        <w:rPr>
          <w:rFonts w:ascii="Times New Roman" w:hAnsi="Times New Roman" w:cs="Times New Roman"/>
        </w:rPr>
        <w:t>es</w:t>
      </w:r>
      <w:r w:rsidR="000C6D56" w:rsidRPr="006A6576">
        <w:rPr>
          <w:rFonts w:ascii="Times New Roman" w:hAnsi="Times New Roman" w:cs="Times New Roman"/>
        </w:rPr>
        <w:t xml:space="preserve"> (</w:t>
      </w:r>
      <w:r w:rsidR="00E427DA" w:rsidRPr="006A6576">
        <w:rPr>
          <w:rFonts w:ascii="Times New Roman" w:hAnsi="Times New Roman" w:cs="Times New Roman"/>
        </w:rPr>
        <w:t>Compton and Kerfoot, 2004)</w:t>
      </w:r>
      <w:r w:rsidR="00EF73DE" w:rsidRPr="006A6576">
        <w:rPr>
          <w:rFonts w:ascii="Times New Roman" w:hAnsi="Times New Roman" w:cs="Times New Roman"/>
        </w:rPr>
        <w:t>.  If the spiny water f</w:t>
      </w:r>
      <w:r w:rsidRPr="006A6576">
        <w:rPr>
          <w:rFonts w:ascii="Times New Roman" w:hAnsi="Times New Roman" w:cs="Times New Roman"/>
        </w:rPr>
        <w:t xml:space="preserve">lea </w:t>
      </w:r>
      <w:r w:rsidR="003649FB" w:rsidRPr="006A6576">
        <w:rPr>
          <w:rFonts w:ascii="Times New Roman" w:hAnsi="Times New Roman" w:cs="Times New Roman"/>
        </w:rPr>
        <w:t>reduced herbivorous</w:t>
      </w:r>
      <w:r w:rsidRPr="006A6576">
        <w:rPr>
          <w:rFonts w:ascii="Times New Roman" w:hAnsi="Times New Roman" w:cs="Times New Roman"/>
        </w:rPr>
        <w:t xml:space="preserve"> zooplankton, algae could be allowed to grow unchecked.</w:t>
      </w:r>
    </w:p>
    <w:p w14:paraId="72491E99" w14:textId="77777777" w:rsidR="00BA1F88" w:rsidRPr="006A6576" w:rsidRDefault="00BA1F88" w:rsidP="002C18D3">
      <w:pPr>
        <w:spacing w:line="360" w:lineRule="auto"/>
        <w:rPr>
          <w:rFonts w:ascii="Times New Roman" w:hAnsi="Times New Roman" w:cs="Times New Roman"/>
        </w:rPr>
      </w:pPr>
    </w:p>
    <w:p w14:paraId="7A27CA31" w14:textId="35A04B90" w:rsidR="00BA1F88" w:rsidRPr="006A6576" w:rsidRDefault="00BA1F88" w:rsidP="002C18D3">
      <w:pPr>
        <w:spacing w:line="360" w:lineRule="auto"/>
        <w:rPr>
          <w:rFonts w:ascii="Times New Roman" w:hAnsi="Times New Roman" w:cs="Times New Roman"/>
        </w:rPr>
      </w:pPr>
      <w:r w:rsidRPr="006A6576">
        <w:rPr>
          <w:rFonts w:ascii="Times New Roman" w:hAnsi="Times New Roman" w:cs="Times New Roman"/>
          <w:i/>
        </w:rPr>
        <w:t xml:space="preserve">Identification of Transport Vectors </w:t>
      </w:r>
      <w:r w:rsidRPr="006A6576">
        <w:rPr>
          <w:rFonts w:ascii="Times New Roman" w:hAnsi="Times New Roman" w:cs="Times New Roman"/>
        </w:rPr>
        <w:t>- The spiny water flea</w:t>
      </w:r>
      <w:r w:rsidR="004A48EF" w:rsidRPr="006A6576">
        <w:rPr>
          <w:rFonts w:ascii="Times New Roman" w:hAnsi="Times New Roman" w:cs="Times New Roman"/>
        </w:rPr>
        <w:t xml:space="preserve"> </w:t>
      </w:r>
      <w:r w:rsidRPr="006A6576">
        <w:rPr>
          <w:rFonts w:ascii="Times New Roman" w:hAnsi="Times New Roman" w:cs="Times New Roman"/>
        </w:rPr>
        <w:t xml:space="preserve">invaded the Laurentian Great Lakes in the 1980’s from Eastern Europe and Western Asia via transatlantic shipping vessels and spread to inland lakes in the 1990’s </w:t>
      </w:r>
      <w:r w:rsidR="002A1714">
        <w:rPr>
          <w:rFonts w:ascii="Times New Roman" w:hAnsi="Times New Roman" w:cs="Times New Roman"/>
        </w:rPr>
        <w:t>as a result of transport by</w:t>
      </w:r>
      <w:r w:rsidRPr="006A6576">
        <w:rPr>
          <w:rFonts w:ascii="Times New Roman" w:hAnsi="Times New Roman" w:cs="Times New Roman"/>
        </w:rPr>
        <w:t xml:space="preserve"> recreational boats.  The spiny water flea has spread rapidly among inland lakes </w:t>
      </w:r>
      <w:r w:rsidR="002A1714">
        <w:rPr>
          <w:rFonts w:ascii="Times New Roman" w:hAnsi="Times New Roman" w:cs="Times New Roman"/>
        </w:rPr>
        <w:t xml:space="preserve">in some regions, </w:t>
      </w:r>
      <w:r w:rsidR="003649FB" w:rsidRPr="006A6576">
        <w:rPr>
          <w:rFonts w:ascii="Times New Roman" w:hAnsi="Times New Roman" w:cs="Times New Roman"/>
        </w:rPr>
        <w:t xml:space="preserve">but </w:t>
      </w:r>
      <w:r w:rsidRPr="006A6576">
        <w:rPr>
          <w:rFonts w:ascii="Times New Roman" w:hAnsi="Times New Roman" w:cs="Times New Roman"/>
        </w:rPr>
        <w:t xml:space="preserve">has </w:t>
      </w:r>
      <w:r w:rsidR="003649FB" w:rsidRPr="006A6576">
        <w:rPr>
          <w:rFonts w:ascii="Times New Roman" w:hAnsi="Times New Roman" w:cs="Times New Roman"/>
        </w:rPr>
        <w:t>attracted relatively little attention</w:t>
      </w:r>
      <w:r w:rsidR="006B2BEE" w:rsidRPr="006A6576">
        <w:rPr>
          <w:rFonts w:ascii="Times New Roman" w:hAnsi="Times New Roman" w:cs="Times New Roman"/>
        </w:rPr>
        <w:t xml:space="preserve"> (Yan et al. 2011)</w:t>
      </w:r>
      <w:r w:rsidRPr="006A6576">
        <w:rPr>
          <w:rFonts w:ascii="Times New Roman" w:hAnsi="Times New Roman" w:cs="Times New Roman"/>
        </w:rPr>
        <w:t xml:space="preserve">. </w:t>
      </w:r>
      <w:r w:rsidR="004A48EF" w:rsidRPr="006A6576">
        <w:rPr>
          <w:rFonts w:ascii="Times New Roman" w:hAnsi="Times New Roman" w:cs="Times New Roman"/>
        </w:rPr>
        <w:t xml:space="preserve">To </w:t>
      </w:r>
      <w:r w:rsidR="003649FB" w:rsidRPr="006A6576">
        <w:rPr>
          <w:rFonts w:ascii="Times New Roman" w:hAnsi="Times New Roman" w:cs="Times New Roman"/>
        </w:rPr>
        <w:t xml:space="preserve">better understand the transport vectors we need to examine how it manages to </w:t>
      </w:r>
      <w:r w:rsidR="00950801" w:rsidRPr="006A6576">
        <w:rPr>
          <w:rFonts w:ascii="Times New Roman" w:hAnsi="Times New Roman" w:cs="Times New Roman"/>
        </w:rPr>
        <w:t>attach or hitchhike</w:t>
      </w:r>
      <w:r w:rsidR="003649FB" w:rsidRPr="006A6576">
        <w:rPr>
          <w:rFonts w:ascii="Times New Roman" w:hAnsi="Times New Roman" w:cs="Times New Roman"/>
        </w:rPr>
        <w:t xml:space="preserve"> on recreational boats,</w:t>
      </w:r>
      <w:r w:rsidR="00950801" w:rsidRPr="006A6576">
        <w:rPr>
          <w:rFonts w:ascii="Times New Roman" w:hAnsi="Times New Roman" w:cs="Times New Roman"/>
        </w:rPr>
        <w:t xml:space="preserve"> and at the broader scale, which lakes are most likely to</w:t>
      </w:r>
      <w:r w:rsidR="007D5F43" w:rsidRPr="006A6576">
        <w:rPr>
          <w:rFonts w:ascii="Times New Roman" w:hAnsi="Times New Roman" w:cs="Times New Roman"/>
        </w:rPr>
        <w:t xml:space="preserve"> be</w:t>
      </w:r>
      <w:r w:rsidR="00950801" w:rsidRPr="006A6576">
        <w:rPr>
          <w:rFonts w:ascii="Times New Roman" w:hAnsi="Times New Roman" w:cs="Times New Roman"/>
        </w:rPr>
        <w:t xml:space="preserve"> source waters and </w:t>
      </w:r>
      <w:r w:rsidR="007D5F43" w:rsidRPr="006A6576">
        <w:rPr>
          <w:rFonts w:ascii="Times New Roman" w:hAnsi="Times New Roman" w:cs="Times New Roman"/>
        </w:rPr>
        <w:t xml:space="preserve">the site of </w:t>
      </w:r>
      <w:r w:rsidR="00950801" w:rsidRPr="006A6576">
        <w:rPr>
          <w:rFonts w:ascii="Times New Roman" w:hAnsi="Times New Roman" w:cs="Times New Roman"/>
        </w:rPr>
        <w:lastRenderedPageBreak/>
        <w:t xml:space="preserve">future invasions. Developing a basic understanding of these factors </w:t>
      </w:r>
      <w:r w:rsidR="004A48EF" w:rsidRPr="006A6576">
        <w:rPr>
          <w:rFonts w:ascii="Times New Roman" w:hAnsi="Times New Roman" w:cs="Times New Roman"/>
        </w:rPr>
        <w:t xml:space="preserve">will </w:t>
      </w:r>
      <w:r w:rsidR="00950801" w:rsidRPr="006A6576">
        <w:rPr>
          <w:rFonts w:ascii="Times New Roman" w:hAnsi="Times New Roman" w:cs="Times New Roman"/>
        </w:rPr>
        <w:t>greatly help in targeting</w:t>
      </w:r>
      <w:r w:rsidR="004A48EF" w:rsidRPr="006A6576">
        <w:rPr>
          <w:rFonts w:ascii="Times New Roman" w:hAnsi="Times New Roman" w:cs="Times New Roman"/>
        </w:rPr>
        <w:t xml:space="preserve"> contain</w:t>
      </w:r>
      <w:r w:rsidR="00950801" w:rsidRPr="006A6576">
        <w:rPr>
          <w:rFonts w:ascii="Times New Roman" w:hAnsi="Times New Roman" w:cs="Times New Roman"/>
        </w:rPr>
        <w:t>ment efforts</w:t>
      </w:r>
      <w:r w:rsidR="004A48EF" w:rsidRPr="006A6576">
        <w:rPr>
          <w:rFonts w:ascii="Times New Roman" w:hAnsi="Times New Roman" w:cs="Times New Roman"/>
        </w:rPr>
        <w:t xml:space="preserve">. </w:t>
      </w:r>
    </w:p>
    <w:p w14:paraId="6B870555" w14:textId="77777777" w:rsidR="004A48EF" w:rsidRPr="006A6576" w:rsidRDefault="004A48EF" w:rsidP="002C18D3">
      <w:pPr>
        <w:spacing w:line="360" w:lineRule="auto"/>
        <w:rPr>
          <w:rFonts w:ascii="Times New Roman" w:hAnsi="Times New Roman" w:cs="Times New Roman"/>
        </w:rPr>
      </w:pPr>
    </w:p>
    <w:p w14:paraId="2B5C709F" w14:textId="540A4EDD" w:rsidR="003F3BF3" w:rsidRPr="006A6576" w:rsidRDefault="004A48EF" w:rsidP="002C18D3">
      <w:pPr>
        <w:spacing w:line="360" w:lineRule="auto"/>
        <w:rPr>
          <w:rFonts w:ascii="Times New Roman" w:hAnsi="Times New Roman" w:cs="Times New Roman"/>
        </w:rPr>
      </w:pPr>
      <w:r w:rsidRPr="006A6576">
        <w:rPr>
          <w:rFonts w:ascii="Times New Roman" w:hAnsi="Times New Roman" w:cs="Times New Roman"/>
          <w:i/>
        </w:rPr>
        <w:t>Early Detection</w:t>
      </w:r>
      <w:r w:rsidRPr="006A6576">
        <w:rPr>
          <w:rFonts w:ascii="Times New Roman" w:hAnsi="Times New Roman" w:cs="Times New Roman"/>
        </w:rPr>
        <w:t xml:space="preserve"> – Spiny water flea are small (~10 mm), patchily distributed in space and highly seasonal.  This makes detection, part</w:t>
      </w:r>
      <w:r w:rsidR="00946678" w:rsidRPr="006A6576">
        <w:rPr>
          <w:rFonts w:ascii="Times New Roman" w:hAnsi="Times New Roman" w:cs="Times New Roman"/>
        </w:rPr>
        <w:t>icularly at low densities, especial</w:t>
      </w:r>
      <w:r w:rsidRPr="006A6576">
        <w:rPr>
          <w:rFonts w:ascii="Times New Roman" w:hAnsi="Times New Roman" w:cs="Times New Roman"/>
        </w:rPr>
        <w:t>ly difficult.  There is no widely accepted methodology for early detection of the species</w:t>
      </w:r>
      <w:r w:rsidR="00950801" w:rsidRPr="006A6576">
        <w:rPr>
          <w:rFonts w:ascii="Times New Roman" w:hAnsi="Times New Roman" w:cs="Times New Roman"/>
        </w:rPr>
        <w:t>,</w:t>
      </w:r>
      <w:r w:rsidRPr="006A6576">
        <w:rPr>
          <w:rFonts w:ascii="Times New Roman" w:hAnsi="Times New Roman" w:cs="Times New Roman"/>
        </w:rPr>
        <w:t xml:space="preserve"> and no research has been conducted to identify</w:t>
      </w:r>
      <w:r w:rsidR="00C15E52" w:rsidRPr="006A6576">
        <w:rPr>
          <w:rFonts w:ascii="Times New Roman" w:hAnsi="Times New Roman" w:cs="Times New Roman"/>
        </w:rPr>
        <w:t xml:space="preserve"> when, where and how we can most </w:t>
      </w:r>
      <w:r w:rsidR="007D5F43" w:rsidRPr="006A6576">
        <w:rPr>
          <w:rFonts w:ascii="Times New Roman" w:hAnsi="Times New Roman" w:cs="Times New Roman"/>
        </w:rPr>
        <w:t xml:space="preserve">effectively </w:t>
      </w:r>
      <w:r w:rsidR="00C15E52" w:rsidRPr="006A6576">
        <w:rPr>
          <w:rFonts w:ascii="Times New Roman" w:hAnsi="Times New Roman" w:cs="Times New Roman"/>
        </w:rPr>
        <w:t>detect spiny water flea and begin steps to contain it</w:t>
      </w:r>
      <w:r w:rsidR="00950801" w:rsidRPr="006A6576">
        <w:rPr>
          <w:rFonts w:ascii="Times New Roman" w:hAnsi="Times New Roman" w:cs="Times New Roman"/>
        </w:rPr>
        <w:t>.</w:t>
      </w:r>
    </w:p>
    <w:p w14:paraId="14594819" w14:textId="55E6BB7E" w:rsidR="006A6576" w:rsidRDefault="006A6576" w:rsidP="002C18D3">
      <w:pPr>
        <w:spacing w:line="360" w:lineRule="auto"/>
        <w:rPr>
          <w:rFonts w:ascii="Times New Roman" w:hAnsi="Times New Roman" w:cs="Times New Roman"/>
        </w:rPr>
      </w:pPr>
    </w:p>
    <w:p w14:paraId="6E838B34" w14:textId="2154634D" w:rsidR="00A8651C" w:rsidRPr="006A6576" w:rsidRDefault="00632942" w:rsidP="002C18D3">
      <w:pPr>
        <w:spacing w:line="360" w:lineRule="auto"/>
        <w:rPr>
          <w:rFonts w:ascii="Times New Roman" w:hAnsi="Times New Roman" w:cs="Times New Roman"/>
          <w:b/>
        </w:rPr>
      </w:pPr>
      <w:r>
        <w:rPr>
          <w:rFonts w:ascii="Times New Roman" w:hAnsi="Times New Roman" w:cs="Times New Roman"/>
          <w:b/>
        </w:rPr>
        <w:t>O</w:t>
      </w:r>
      <w:r w:rsidR="00A8651C" w:rsidRPr="006A6576">
        <w:rPr>
          <w:rFonts w:ascii="Times New Roman" w:hAnsi="Times New Roman" w:cs="Times New Roman"/>
          <w:b/>
        </w:rPr>
        <w:t>bjectives</w:t>
      </w:r>
      <w:r>
        <w:rPr>
          <w:rFonts w:ascii="Times New Roman" w:hAnsi="Times New Roman" w:cs="Times New Roman"/>
          <w:b/>
        </w:rPr>
        <w:t xml:space="preserve"> and major findings</w:t>
      </w:r>
    </w:p>
    <w:p w14:paraId="2E506846" w14:textId="25495134" w:rsidR="00C15E52" w:rsidRPr="006A6576" w:rsidRDefault="002A1714" w:rsidP="002C18D3">
      <w:pPr>
        <w:spacing w:line="360" w:lineRule="auto"/>
        <w:rPr>
          <w:rFonts w:ascii="Times New Roman" w:hAnsi="Times New Roman" w:cs="Times New Roman"/>
        </w:rPr>
      </w:pPr>
      <w:r>
        <w:rPr>
          <w:rFonts w:ascii="Times New Roman" w:hAnsi="Times New Roman" w:cs="Times New Roman"/>
        </w:rPr>
        <w:t>The o</w:t>
      </w:r>
      <w:r w:rsidRPr="002A1714">
        <w:rPr>
          <w:rFonts w:ascii="Times New Roman" w:hAnsi="Times New Roman" w:cs="Times New Roman"/>
        </w:rPr>
        <w:t xml:space="preserve">verarching </w:t>
      </w:r>
      <w:r>
        <w:rPr>
          <w:rFonts w:ascii="Times New Roman" w:hAnsi="Times New Roman" w:cs="Times New Roman"/>
        </w:rPr>
        <w:t>g</w:t>
      </w:r>
      <w:r w:rsidRPr="002A1714">
        <w:rPr>
          <w:rFonts w:ascii="Times New Roman" w:hAnsi="Times New Roman" w:cs="Times New Roman"/>
        </w:rPr>
        <w:t xml:space="preserve">oal </w:t>
      </w:r>
      <w:r>
        <w:rPr>
          <w:rFonts w:ascii="Times New Roman" w:hAnsi="Times New Roman" w:cs="Times New Roman"/>
        </w:rPr>
        <w:t>of this work was</w:t>
      </w:r>
      <w:r w:rsidRPr="002A1714">
        <w:rPr>
          <w:rFonts w:ascii="Times New Roman" w:hAnsi="Times New Roman" w:cs="Times New Roman"/>
        </w:rPr>
        <w:t xml:space="preserve"> to i</w:t>
      </w:r>
      <w:r w:rsidR="00322568" w:rsidRPr="002A1714">
        <w:rPr>
          <w:rFonts w:ascii="Times New Roman" w:hAnsi="Times New Roman" w:cs="Times New Roman"/>
        </w:rPr>
        <w:t>ncrease</w:t>
      </w:r>
      <w:r w:rsidR="00322568" w:rsidRPr="006A6576">
        <w:rPr>
          <w:rFonts w:ascii="Times New Roman" w:hAnsi="Times New Roman" w:cs="Times New Roman"/>
        </w:rPr>
        <w:t xml:space="preserve"> </w:t>
      </w:r>
      <w:r>
        <w:rPr>
          <w:rFonts w:ascii="Times New Roman" w:hAnsi="Times New Roman" w:cs="Times New Roman"/>
        </w:rPr>
        <w:t>the</w:t>
      </w:r>
      <w:r w:rsidR="00970C70" w:rsidRPr="006A6576">
        <w:rPr>
          <w:rFonts w:ascii="Times New Roman" w:hAnsi="Times New Roman" w:cs="Times New Roman"/>
        </w:rPr>
        <w:t xml:space="preserve"> fundamental understanding </w:t>
      </w:r>
      <w:r w:rsidR="00322568" w:rsidRPr="006A6576">
        <w:rPr>
          <w:rFonts w:ascii="Times New Roman" w:hAnsi="Times New Roman" w:cs="Times New Roman"/>
        </w:rPr>
        <w:t>of t</w:t>
      </w:r>
      <w:r w:rsidR="000834DF" w:rsidRPr="006A6576">
        <w:rPr>
          <w:rFonts w:ascii="Times New Roman" w:hAnsi="Times New Roman" w:cs="Times New Roman"/>
        </w:rPr>
        <w:t>he spiny water flea in WI</w:t>
      </w:r>
      <w:r>
        <w:rPr>
          <w:rFonts w:ascii="Times New Roman" w:hAnsi="Times New Roman" w:cs="Times New Roman"/>
        </w:rPr>
        <w:t>. In doing so, our efforts are helping to p</w:t>
      </w:r>
      <w:r w:rsidR="00970C70" w:rsidRPr="006A6576">
        <w:rPr>
          <w:rFonts w:ascii="Times New Roman" w:hAnsi="Times New Roman" w:cs="Times New Roman"/>
        </w:rPr>
        <w:t>rovide guidance for future</w:t>
      </w:r>
      <w:r w:rsidR="00F66122" w:rsidRPr="006A6576">
        <w:rPr>
          <w:rFonts w:ascii="Times New Roman" w:hAnsi="Times New Roman" w:cs="Times New Roman"/>
        </w:rPr>
        <w:t xml:space="preserve"> manag</w:t>
      </w:r>
      <w:r w:rsidR="00970C70" w:rsidRPr="006A6576">
        <w:rPr>
          <w:rFonts w:ascii="Times New Roman" w:hAnsi="Times New Roman" w:cs="Times New Roman"/>
        </w:rPr>
        <w:t>ement of</w:t>
      </w:r>
      <w:r w:rsidR="00F66122" w:rsidRPr="006A6576">
        <w:rPr>
          <w:rFonts w:ascii="Times New Roman" w:hAnsi="Times New Roman" w:cs="Times New Roman"/>
        </w:rPr>
        <w:t xml:space="preserve"> spiny wa</w:t>
      </w:r>
      <w:r>
        <w:rPr>
          <w:rFonts w:ascii="Times New Roman" w:hAnsi="Times New Roman" w:cs="Times New Roman"/>
        </w:rPr>
        <w:t>ter flea in WI and the broader region. Specifically, we have conducted work in the following thematic areas:</w:t>
      </w:r>
      <w:r w:rsidR="00632942">
        <w:rPr>
          <w:rFonts w:ascii="Times New Roman" w:hAnsi="Times New Roman" w:cs="Times New Roman"/>
        </w:rPr>
        <w:t xml:space="preserve"> ecological impact, early detection, and transport vectors.</w:t>
      </w:r>
    </w:p>
    <w:p w14:paraId="61CDD8E4" w14:textId="77777777" w:rsidR="00322568" w:rsidRPr="006A6576" w:rsidRDefault="00322568" w:rsidP="002C18D3">
      <w:pPr>
        <w:spacing w:line="360" w:lineRule="auto"/>
        <w:rPr>
          <w:rFonts w:ascii="Times New Roman" w:hAnsi="Times New Roman" w:cs="Times New Roman"/>
        </w:rPr>
      </w:pPr>
    </w:p>
    <w:p w14:paraId="6B0CAD74" w14:textId="2AF04D8B" w:rsidR="00632942" w:rsidRPr="006A6576" w:rsidRDefault="00322568" w:rsidP="002C18D3">
      <w:pPr>
        <w:spacing w:line="360" w:lineRule="auto"/>
        <w:rPr>
          <w:rFonts w:ascii="Times New Roman" w:hAnsi="Times New Roman" w:cs="Times New Roman"/>
        </w:rPr>
      </w:pPr>
      <w:r w:rsidRPr="006A6576">
        <w:rPr>
          <w:rFonts w:ascii="Times New Roman" w:hAnsi="Times New Roman" w:cs="Times New Roman"/>
          <w:i/>
        </w:rPr>
        <w:t>Ecological Impact</w:t>
      </w:r>
      <w:r w:rsidR="00632942">
        <w:rPr>
          <w:rFonts w:ascii="Times New Roman" w:hAnsi="Times New Roman" w:cs="Times New Roman"/>
        </w:rPr>
        <w:t xml:space="preserve"> – The objective was to a</w:t>
      </w:r>
      <w:r w:rsidRPr="006A6576">
        <w:rPr>
          <w:rFonts w:ascii="Times New Roman" w:hAnsi="Times New Roman" w:cs="Times New Roman"/>
        </w:rPr>
        <w:t>ssess the ecological impact of spiny water flea in WI lakes with a focus on zooplankton, fish</w:t>
      </w:r>
      <w:r w:rsidR="002C18D3">
        <w:rPr>
          <w:rFonts w:ascii="Times New Roman" w:hAnsi="Times New Roman" w:cs="Times New Roman"/>
        </w:rPr>
        <w:t>,</w:t>
      </w:r>
      <w:r w:rsidRPr="006A6576">
        <w:rPr>
          <w:rFonts w:ascii="Times New Roman" w:hAnsi="Times New Roman" w:cs="Times New Roman"/>
        </w:rPr>
        <w:t xml:space="preserve"> and water clarity.</w:t>
      </w:r>
      <w:r w:rsidR="00632942">
        <w:rPr>
          <w:rFonts w:ascii="Times New Roman" w:hAnsi="Times New Roman" w:cs="Times New Roman"/>
        </w:rPr>
        <w:t xml:space="preserve"> </w:t>
      </w:r>
      <w:r w:rsidR="00632942" w:rsidRPr="006A6576">
        <w:rPr>
          <w:rFonts w:ascii="Times New Roman" w:hAnsi="Times New Roman" w:cs="Times New Roman"/>
        </w:rPr>
        <w:t xml:space="preserve">Determining the impact of an invasive species requires adequate pre-invasion data to provide </w:t>
      </w:r>
      <w:r w:rsidR="00EE5247">
        <w:rPr>
          <w:rFonts w:ascii="Times New Roman" w:hAnsi="Times New Roman" w:cs="Times New Roman"/>
        </w:rPr>
        <w:t xml:space="preserve">a </w:t>
      </w:r>
      <w:r w:rsidR="00632942" w:rsidRPr="006A6576">
        <w:rPr>
          <w:rFonts w:ascii="Times New Roman" w:hAnsi="Times New Roman" w:cs="Times New Roman"/>
        </w:rPr>
        <w:t>before and after comparisons of invaded lake</w:t>
      </w:r>
      <w:r w:rsidR="00632942">
        <w:rPr>
          <w:rFonts w:ascii="Times New Roman" w:hAnsi="Times New Roman" w:cs="Times New Roman"/>
        </w:rPr>
        <w:t>s</w:t>
      </w:r>
      <w:r w:rsidR="00632942" w:rsidRPr="006A6576">
        <w:rPr>
          <w:rFonts w:ascii="Times New Roman" w:hAnsi="Times New Roman" w:cs="Times New Roman"/>
        </w:rPr>
        <w:t xml:space="preserve">.  </w:t>
      </w:r>
    </w:p>
    <w:p w14:paraId="60672709" w14:textId="77777777" w:rsidR="00632942" w:rsidRPr="006A6576" w:rsidRDefault="00632942" w:rsidP="002C18D3">
      <w:pPr>
        <w:spacing w:line="360" w:lineRule="auto"/>
        <w:rPr>
          <w:rFonts w:ascii="Times New Roman" w:hAnsi="Times New Roman" w:cs="Times New Roman"/>
        </w:rPr>
      </w:pPr>
    </w:p>
    <w:p w14:paraId="232E11EA" w14:textId="271B680E" w:rsidR="00632942" w:rsidRDefault="00632942" w:rsidP="002C18D3">
      <w:pPr>
        <w:spacing w:line="360" w:lineRule="auto"/>
        <w:rPr>
          <w:rFonts w:ascii="Times New Roman" w:hAnsi="Times New Roman" w:cs="Times New Roman"/>
        </w:rPr>
      </w:pPr>
      <w:r>
        <w:rPr>
          <w:rFonts w:ascii="Times New Roman" w:hAnsi="Times New Roman" w:cs="Times New Roman"/>
        </w:rPr>
        <w:t>The Yahara Lakes and Trout Lake are LTER study lakes, and thus provide exceptional p</w:t>
      </w:r>
      <w:r w:rsidRPr="006A6576">
        <w:rPr>
          <w:rFonts w:ascii="Times New Roman" w:hAnsi="Times New Roman" w:cs="Times New Roman"/>
        </w:rPr>
        <w:t xml:space="preserve">re-invasion </w:t>
      </w:r>
      <w:r>
        <w:rPr>
          <w:rFonts w:ascii="Times New Roman" w:hAnsi="Times New Roman" w:cs="Times New Roman"/>
        </w:rPr>
        <w:t xml:space="preserve">limnological </w:t>
      </w:r>
      <w:r w:rsidRPr="006A6576">
        <w:rPr>
          <w:rFonts w:ascii="Times New Roman" w:hAnsi="Times New Roman" w:cs="Times New Roman"/>
        </w:rPr>
        <w:t xml:space="preserve">data </w:t>
      </w:r>
      <w:r>
        <w:rPr>
          <w:rFonts w:ascii="Times New Roman" w:hAnsi="Times New Roman" w:cs="Times New Roman"/>
        </w:rPr>
        <w:t xml:space="preserve">for evaluating ecological </w:t>
      </w:r>
      <w:r w:rsidRPr="006A6576">
        <w:rPr>
          <w:rFonts w:ascii="Times New Roman" w:hAnsi="Times New Roman" w:cs="Times New Roman"/>
        </w:rPr>
        <w:t>impact of spiny water flea.  We survey</w:t>
      </w:r>
      <w:r>
        <w:rPr>
          <w:rFonts w:ascii="Times New Roman" w:hAnsi="Times New Roman" w:cs="Times New Roman"/>
        </w:rPr>
        <w:t>ed</w:t>
      </w:r>
      <w:r w:rsidRPr="006A6576">
        <w:rPr>
          <w:rFonts w:ascii="Times New Roman" w:hAnsi="Times New Roman" w:cs="Times New Roman"/>
        </w:rPr>
        <w:t xml:space="preserve"> zooplankton c</w:t>
      </w:r>
      <w:r w:rsidR="002C18D3">
        <w:rPr>
          <w:rFonts w:ascii="Times New Roman" w:hAnsi="Times New Roman" w:cs="Times New Roman"/>
        </w:rPr>
        <w:t>ommunities by zooplankton tows</w:t>
      </w:r>
      <w:r w:rsidRPr="006A6576">
        <w:rPr>
          <w:rFonts w:ascii="Times New Roman" w:hAnsi="Times New Roman" w:cs="Times New Roman"/>
        </w:rPr>
        <w:t xml:space="preserve"> taken weekly at the deepest points of Lake Mendota and every other week in Lakes Monona, Waubesa and Kegonsa.  Targeted sampling for spiny water fleas is taken with a larger, coarser net (50 cm mouth and 250 micron mesh) alongside </w:t>
      </w:r>
      <w:r w:rsidR="00AF1C9E">
        <w:rPr>
          <w:rFonts w:ascii="Times New Roman" w:hAnsi="Times New Roman" w:cs="Times New Roman"/>
        </w:rPr>
        <w:t>zooplankton community tows</w:t>
      </w:r>
      <w:r>
        <w:rPr>
          <w:rFonts w:ascii="Times New Roman" w:hAnsi="Times New Roman" w:cs="Times New Roman"/>
        </w:rPr>
        <w:t>.</w:t>
      </w:r>
      <w:r w:rsidR="00AF1C9E">
        <w:rPr>
          <w:rFonts w:ascii="Times New Roman" w:hAnsi="Times New Roman" w:cs="Times New Roman"/>
        </w:rPr>
        <w:t xml:space="preserve"> Spiny water flea were at their highest levels in Lake Mendota, and occurred at lower levels in all the other lakes. Peak densities were consistently observed during fall.</w:t>
      </w:r>
      <w:r>
        <w:rPr>
          <w:rFonts w:ascii="Times New Roman" w:hAnsi="Times New Roman" w:cs="Times New Roman"/>
        </w:rPr>
        <w:t xml:space="preserve"> </w:t>
      </w:r>
    </w:p>
    <w:p w14:paraId="63FF0B92" w14:textId="77777777" w:rsidR="00632942" w:rsidRDefault="00632942" w:rsidP="002C18D3">
      <w:pPr>
        <w:spacing w:line="360" w:lineRule="auto"/>
        <w:rPr>
          <w:rFonts w:ascii="Times New Roman" w:hAnsi="Times New Roman" w:cs="Times New Roman"/>
        </w:rPr>
      </w:pPr>
    </w:p>
    <w:p w14:paraId="7C418B09" w14:textId="5B8ACC0E" w:rsidR="00632942" w:rsidRDefault="00632942" w:rsidP="002C18D3">
      <w:pPr>
        <w:spacing w:line="360" w:lineRule="auto"/>
        <w:rPr>
          <w:rFonts w:ascii="Times New Roman" w:hAnsi="Times New Roman" w:cs="Times New Roman"/>
        </w:rPr>
      </w:pPr>
      <w:r w:rsidRPr="00632942">
        <w:rPr>
          <w:rFonts w:ascii="Times New Roman" w:hAnsi="Times New Roman" w:cs="Times New Roman"/>
        </w:rPr>
        <w:lastRenderedPageBreak/>
        <w:t xml:space="preserve">We have conducted an ecological impact assessment for the spiny water flea in the Madison chain </w:t>
      </w:r>
      <w:r>
        <w:rPr>
          <w:rFonts w:ascii="Times New Roman" w:hAnsi="Times New Roman" w:cs="Times New Roman"/>
        </w:rPr>
        <w:t xml:space="preserve">of </w:t>
      </w:r>
      <w:r w:rsidRPr="00632942">
        <w:rPr>
          <w:rFonts w:ascii="Times New Roman" w:hAnsi="Times New Roman" w:cs="Times New Roman"/>
        </w:rPr>
        <w:t>lakes</w:t>
      </w:r>
      <w:r>
        <w:rPr>
          <w:rFonts w:ascii="Times New Roman" w:hAnsi="Times New Roman" w:cs="Times New Roman"/>
        </w:rPr>
        <w:t>, focusing on Lake Mendota</w:t>
      </w:r>
      <w:r w:rsidRPr="00632942">
        <w:rPr>
          <w:rFonts w:ascii="Times New Roman" w:hAnsi="Times New Roman" w:cs="Times New Roman"/>
        </w:rPr>
        <w:t xml:space="preserve">.  </w:t>
      </w:r>
      <w:r>
        <w:rPr>
          <w:rFonts w:ascii="Times New Roman" w:hAnsi="Times New Roman" w:cs="Times New Roman"/>
        </w:rPr>
        <w:t>We</w:t>
      </w:r>
      <w:r w:rsidRPr="00632942">
        <w:rPr>
          <w:rFonts w:ascii="Times New Roman" w:hAnsi="Times New Roman" w:cs="Times New Roman"/>
        </w:rPr>
        <w:t xml:space="preserve"> have evaluated the impact of spiny water flea on zooplankton, phytoplankton, </w:t>
      </w:r>
      <w:r w:rsidR="00AF1C9E">
        <w:rPr>
          <w:rFonts w:ascii="Times New Roman" w:hAnsi="Times New Roman" w:cs="Times New Roman"/>
        </w:rPr>
        <w:t xml:space="preserve">water </w:t>
      </w:r>
      <w:r w:rsidRPr="00632942">
        <w:rPr>
          <w:rFonts w:ascii="Times New Roman" w:hAnsi="Times New Roman" w:cs="Times New Roman"/>
        </w:rPr>
        <w:t xml:space="preserve">clarity, and nutrients by comparing pre- (1976 – 2009) and post-invasion (2009 – present) data using cutting edge methods such as multivariate autoregressive </w:t>
      </w:r>
      <w:r w:rsidR="00EE5247">
        <w:rPr>
          <w:rFonts w:ascii="Times New Roman" w:hAnsi="Times New Roman" w:cs="Times New Roman"/>
        </w:rPr>
        <w:t>state space modeling</w:t>
      </w:r>
      <w:r w:rsidRPr="00632942">
        <w:rPr>
          <w:rFonts w:ascii="Times New Roman" w:hAnsi="Times New Roman" w:cs="Times New Roman"/>
        </w:rPr>
        <w:t xml:space="preserve"> (MAR</w:t>
      </w:r>
      <w:r w:rsidR="00EE5247">
        <w:rPr>
          <w:rFonts w:ascii="Times New Roman" w:hAnsi="Times New Roman" w:cs="Times New Roman"/>
        </w:rPr>
        <w:t>SS</w:t>
      </w:r>
      <w:r w:rsidRPr="00632942">
        <w:rPr>
          <w:rFonts w:ascii="Times New Roman" w:hAnsi="Times New Roman" w:cs="Times New Roman"/>
        </w:rPr>
        <w:t xml:space="preserve">). </w:t>
      </w:r>
      <w:r>
        <w:rPr>
          <w:rFonts w:ascii="Times New Roman" w:hAnsi="Times New Roman" w:cs="Times New Roman"/>
        </w:rPr>
        <w:t xml:space="preserve">Zooplankton communities have shifted dramatically in </w:t>
      </w:r>
      <w:r w:rsidR="00EE5247">
        <w:rPr>
          <w:rFonts w:ascii="Times New Roman" w:hAnsi="Times New Roman" w:cs="Times New Roman"/>
        </w:rPr>
        <w:t>response to SWF invasion</w:t>
      </w:r>
      <w:r>
        <w:rPr>
          <w:rFonts w:ascii="Times New Roman" w:hAnsi="Times New Roman" w:cs="Times New Roman"/>
        </w:rPr>
        <w:t xml:space="preserve">. The largest change is the </w:t>
      </w:r>
      <w:r w:rsidR="00EE5247">
        <w:rPr>
          <w:rFonts w:ascii="Times New Roman" w:hAnsi="Times New Roman" w:cs="Times New Roman"/>
        </w:rPr>
        <w:t xml:space="preserve">sharp </w:t>
      </w:r>
      <w:r>
        <w:rPr>
          <w:rFonts w:ascii="Times New Roman" w:hAnsi="Times New Roman" w:cs="Times New Roman"/>
        </w:rPr>
        <w:t xml:space="preserve">decline of </w:t>
      </w:r>
      <w:r w:rsidRPr="00632942">
        <w:rPr>
          <w:rFonts w:ascii="Times New Roman" w:hAnsi="Times New Roman" w:cs="Times New Roman"/>
          <w:i/>
        </w:rPr>
        <w:t>Daphnia pulicaria</w:t>
      </w:r>
      <w:r>
        <w:rPr>
          <w:rFonts w:ascii="Times New Roman" w:hAnsi="Times New Roman" w:cs="Times New Roman"/>
        </w:rPr>
        <w:t>. This species has long been a keystone grazer in Mendota and the Madison lakes. With the decline of Daphnia, water clarity has declined by about 1 meter, despite no overall change in Phosphorus loading to Mendota (</w:t>
      </w:r>
      <w:r w:rsidR="00EE5247">
        <w:rPr>
          <w:rFonts w:ascii="Times New Roman" w:hAnsi="Times New Roman" w:cs="Times New Roman"/>
        </w:rPr>
        <w:t xml:space="preserve">Walsh et al. </w:t>
      </w:r>
      <w:r>
        <w:rPr>
          <w:rFonts w:ascii="Times New Roman" w:hAnsi="Times New Roman" w:cs="Times New Roman"/>
        </w:rPr>
        <w:t xml:space="preserve">Appendix 1). Phosphorus cycling has </w:t>
      </w:r>
      <w:r w:rsidR="00EE5247">
        <w:rPr>
          <w:rFonts w:ascii="Times New Roman" w:hAnsi="Times New Roman" w:cs="Times New Roman"/>
        </w:rPr>
        <w:t>also changed, and</w:t>
      </w:r>
      <w:r>
        <w:rPr>
          <w:rFonts w:ascii="Times New Roman" w:hAnsi="Times New Roman" w:cs="Times New Roman"/>
        </w:rPr>
        <w:t xml:space="preserve"> TP concentrations have decline by ~ 37%. This represents a tremendous change to the Lake Mendota ecosystem. We estimated that recovering the water clarity lost due to spiny water flea through </w:t>
      </w:r>
      <w:r w:rsidR="00EE5247">
        <w:rPr>
          <w:rFonts w:ascii="Times New Roman" w:hAnsi="Times New Roman" w:cs="Times New Roman"/>
        </w:rPr>
        <w:t xml:space="preserve">additional </w:t>
      </w:r>
      <w:r>
        <w:rPr>
          <w:rFonts w:ascii="Times New Roman" w:hAnsi="Times New Roman" w:cs="Times New Roman"/>
        </w:rPr>
        <w:t xml:space="preserve">phosphorus abatement </w:t>
      </w:r>
      <w:r w:rsidR="00EE5247">
        <w:rPr>
          <w:rFonts w:ascii="Times New Roman" w:hAnsi="Times New Roman" w:cs="Times New Roman"/>
        </w:rPr>
        <w:t xml:space="preserve">efforts </w:t>
      </w:r>
      <w:r>
        <w:rPr>
          <w:rFonts w:ascii="Times New Roman" w:hAnsi="Times New Roman" w:cs="Times New Roman"/>
        </w:rPr>
        <w:t>would cost approximately $175 million over a 20 year period (</w:t>
      </w:r>
      <w:r w:rsidR="00EE5247">
        <w:rPr>
          <w:rFonts w:ascii="Times New Roman" w:hAnsi="Times New Roman" w:cs="Times New Roman"/>
        </w:rPr>
        <w:t xml:space="preserve">Walsh et al. </w:t>
      </w:r>
      <w:r>
        <w:rPr>
          <w:rFonts w:ascii="Times New Roman" w:hAnsi="Times New Roman" w:cs="Times New Roman"/>
        </w:rPr>
        <w:t>Appendix 1).</w:t>
      </w:r>
    </w:p>
    <w:p w14:paraId="0A48E4CA" w14:textId="77777777" w:rsidR="00632942" w:rsidRDefault="00632942" w:rsidP="002C18D3">
      <w:pPr>
        <w:spacing w:line="360" w:lineRule="auto"/>
        <w:rPr>
          <w:rFonts w:ascii="Times New Roman" w:hAnsi="Times New Roman" w:cs="Times New Roman"/>
        </w:rPr>
      </w:pPr>
    </w:p>
    <w:p w14:paraId="228CD522" w14:textId="2C4B1BD3" w:rsidR="00632942" w:rsidRDefault="00632942" w:rsidP="002C18D3">
      <w:pPr>
        <w:spacing w:line="360" w:lineRule="auto"/>
        <w:rPr>
          <w:rFonts w:ascii="Times New Roman" w:hAnsi="Times New Roman" w:cs="Times New Roman"/>
        </w:rPr>
      </w:pPr>
      <w:r>
        <w:rPr>
          <w:rFonts w:ascii="Times New Roman" w:hAnsi="Times New Roman" w:cs="Times New Roman"/>
        </w:rPr>
        <w:t>In addition to the dramatic changes</w:t>
      </w:r>
      <w:r w:rsidRPr="00632942">
        <w:rPr>
          <w:rFonts w:ascii="Times New Roman" w:hAnsi="Times New Roman" w:cs="Times New Roman"/>
        </w:rPr>
        <w:t xml:space="preserve"> </w:t>
      </w:r>
      <w:r>
        <w:rPr>
          <w:rFonts w:ascii="Times New Roman" w:hAnsi="Times New Roman" w:cs="Times New Roman"/>
        </w:rPr>
        <w:t>described above, zooplankton and algal communities</w:t>
      </w:r>
      <w:r w:rsidR="0071111B">
        <w:rPr>
          <w:rFonts w:ascii="Times New Roman" w:hAnsi="Times New Roman" w:cs="Times New Roman"/>
        </w:rPr>
        <w:t xml:space="preserve"> have</w:t>
      </w:r>
      <w:r w:rsidRPr="00632942">
        <w:rPr>
          <w:rFonts w:ascii="Times New Roman" w:hAnsi="Times New Roman" w:cs="Times New Roman"/>
        </w:rPr>
        <w:t xml:space="preserve"> shifted </w:t>
      </w:r>
      <w:r>
        <w:rPr>
          <w:rFonts w:ascii="Times New Roman" w:hAnsi="Times New Roman" w:cs="Times New Roman"/>
        </w:rPr>
        <w:t xml:space="preserve">in complex ways, which has </w:t>
      </w:r>
      <w:r w:rsidR="00EE5247">
        <w:rPr>
          <w:rFonts w:ascii="Times New Roman" w:hAnsi="Times New Roman" w:cs="Times New Roman"/>
        </w:rPr>
        <w:t xml:space="preserve">had </w:t>
      </w:r>
      <w:r w:rsidR="00AF1C9E">
        <w:rPr>
          <w:rFonts w:ascii="Times New Roman" w:hAnsi="Times New Roman" w:cs="Times New Roman"/>
        </w:rPr>
        <w:t xml:space="preserve">unexpected </w:t>
      </w:r>
      <w:r>
        <w:rPr>
          <w:rFonts w:ascii="Times New Roman" w:hAnsi="Times New Roman" w:cs="Times New Roman"/>
        </w:rPr>
        <w:t xml:space="preserve">implications for </w:t>
      </w:r>
      <w:r w:rsidR="00AF1C9E">
        <w:rPr>
          <w:rFonts w:ascii="Times New Roman" w:hAnsi="Times New Roman" w:cs="Times New Roman"/>
        </w:rPr>
        <w:t>phosphorus</w:t>
      </w:r>
      <w:r>
        <w:rPr>
          <w:rFonts w:ascii="Times New Roman" w:hAnsi="Times New Roman" w:cs="Times New Roman"/>
        </w:rPr>
        <w:t xml:space="preserve"> cycling. </w:t>
      </w:r>
      <w:r w:rsidRPr="00632942">
        <w:rPr>
          <w:rFonts w:ascii="Times New Roman" w:hAnsi="Times New Roman" w:cs="Times New Roman"/>
        </w:rPr>
        <w:t xml:space="preserve">The </w:t>
      </w:r>
      <w:r w:rsidR="00AF1C9E">
        <w:rPr>
          <w:rFonts w:ascii="Times New Roman" w:hAnsi="Times New Roman" w:cs="Times New Roman"/>
        </w:rPr>
        <w:t xml:space="preserve">many </w:t>
      </w:r>
      <w:r w:rsidRPr="00632942">
        <w:rPr>
          <w:rFonts w:ascii="Times New Roman" w:hAnsi="Times New Roman" w:cs="Times New Roman"/>
        </w:rPr>
        <w:t xml:space="preserve">details of </w:t>
      </w:r>
      <w:r>
        <w:rPr>
          <w:rFonts w:ascii="Times New Roman" w:hAnsi="Times New Roman" w:cs="Times New Roman"/>
        </w:rPr>
        <w:t xml:space="preserve">the </w:t>
      </w:r>
      <w:r w:rsidR="00AF1C9E">
        <w:rPr>
          <w:rFonts w:ascii="Times New Roman" w:hAnsi="Times New Roman" w:cs="Times New Roman"/>
        </w:rPr>
        <w:t xml:space="preserve">seasonal and </w:t>
      </w:r>
      <w:r>
        <w:rPr>
          <w:rFonts w:ascii="Times New Roman" w:hAnsi="Times New Roman" w:cs="Times New Roman"/>
        </w:rPr>
        <w:t>community-level shifts</w:t>
      </w:r>
      <w:r w:rsidRPr="00632942">
        <w:rPr>
          <w:rFonts w:ascii="Times New Roman" w:hAnsi="Times New Roman" w:cs="Times New Roman"/>
        </w:rPr>
        <w:t xml:space="preserve"> are </w:t>
      </w:r>
      <w:r>
        <w:rPr>
          <w:rFonts w:ascii="Times New Roman" w:hAnsi="Times New Roman" w:cs="Times New Roman"/>
        </w:rPr>
        <w:t>being summarized in a</w:t>
      </w:r>
      <w:r w:rsidRPr="00632942">
        <w:rPr>
          <w:rFonts w:ascii="Times New Roman" w:hAnsi="Times New Roman" w:cs="Times New Roman"/>
        </w:rPr>
        <w:t xml:space="preserve"> </w:t>
      </w:r>
      <w:r w:rsidR="00AF1C9E">
        <w:rPr>
          <w:rFonts w:ascii="Times New Roman" w:hAnsi="Times New Roman" w:cs="Times New Roman"/>
        </w:rPr>
        <w:t xml:space="preserve">separate </w:t>
      </w:r>
      <w:r w:rsidR="00EE5247">
        <w:rPr>
          <w:rFonts w:ascii="Times New Roman" w:hAnsi="Times New Roman" w:cs="Times New Roman"/>
        </w:rPr>
        <w:t xml:space="preserve">scientific </w:t>
      </w:r>
      <w:r w:rsidR="00AF1C9E">
        <w:rPr>
          <w:rFonts w:ascii="Times New Roman" w:hAnsi="Times New Roman" w:cs="Times New Roman"/>
        </w:rPr>
        <w:t>manuscript</w:t>
      </w:r>
      <w:r w:rsidR="00EE5247">
        <w:rPr>
          <w:rFonts w:ascii="Times New Roman" w:hAnsi="Times New Roman" w:cs="Times New Roman"/>
        </w:rPr>
        <w:t xml:space="preserve"> (Walsh et al. </w:t>
      </w:r>
      <w:r w:rsidR="00EE5247" w:rsidRPr="00EE5247">
        <w:rPr>
          <w:rFonts w:ascii="Times New Roman" w:hAnsi="Times New Roman" w:cs="Times New Roman"/>
          <w:i/>
        </w:rPr>
        <w:t>in preparation</w:t>
      </w:r>
      <w:r w:rsidR="00EE5247">
        <w:rPr>
          <w:rFonts w:ascii="Times New Roman" w:hAnsi="Times New Roman" w:cs="Times New Roman"/>
        </w:rPr>
        <w:t>)</w:t>
      </w:r>
      <w:r w:rsidRPr="00632942">
        <w:rPr>
          <w:rFonts w:ascii="Times New Roman" w:hAnsi="Times New Roman" w:cs="Times New Roman"/>
        </w:rPr>
        <w:t>.</w:t>
      </w:r>
      <w:r w:rsidR="00AF1C9E">
        <w:rPr>
          <w:rFonts w:ascii="Times New Roman" w:hAnsi="Times New Roman" w:cs="Times New Roman"/>
        </w:rPr>
        <w:t xml:space="preserve"> This body of research highlights the </w:t>
      </w:r>
      <w:r w:rsidRPr="00632942">
        <w:rPr>
          <w:rFonts w:ascii="Times New Roman" w:hAnsi="Times New Roman" w:cs="Times New Roman"/>
        </w:rPr>
        <w:t>clear need to redouble P red</w:t>
      </w:r>
      <w:r w:rsidR="00AF1C9E">
        <w:rPr>
          <w:rFonts w:ascii="Times New Roman" w:hAnsi="Times New Roman" w:cs="Times New Roman"/>
        </w:rPr>
        <w:t>uction efforts in light of SWF</w:t>
      </w:r>
      <w:r w:rsidR="0071111B">
        <w:rPr>
          <w:rFonts w:ascii="Times New Roman" w:hAnsi="Times New Roman" w:cs="Times New Roman"/>
        </w:rPr>
        <w:t>’</w:t>
      </w:r>
      <w:r w:rsidR="00AF1C9E">
        <w:rPr>
          <w:rFonts w:ascii="Times New Roman" w:hAnsi="Times New Roman" w:cs="Times New Roman"/>
        </w:rPr>
        <w:t>s powerful ecological impacts and</w:t>
      </w:r>
      <w:r w:rsidRPr="00632942">
        <w:rPr>
          <w:rFonts w:ascii="Times New Roman" w:hAnsi="Times New Roman" w:cs="Times New Roman"/>
        </w:rPr>
        <w:t xml:space="preserve"> negative effects on water clarity.</w:t>
      </w:r>
    </w:p>
    <w:p w14:paraId="4F22A28D" w14:textId="77777777" w:rsidR="00EE5247" w:rsidRPr="00632942" w:rsidRDefault="00EE5247" w:rsidP="002C18D3">
      <w:pPr>
        <w:spacing w:line="360" w:lineRule="auto"/>
        <w:rPr>
          <w:rFonts w:ascii="Times New Roman" w:hAnsi="Times New Roman" w:cs="Times New Roman"/>
        </w:rPr>
      </w:pPr>
    </w:p>
    <w:p w14:paraId="28A20BE9" w14:textId="49D1FCF5" w:rsidR="00632942" w:rsidRDefault="00AF1C9E" w:rsidP="002C18D3">
      <w:pPr>
        <w:spacing w:line="360" w:lineRule="auto"/>
        <w:rPr>
          <w:rFonts w:ascii="Times New Roman" w:hAnsi="Times New Roman" w:cs="Times New Roman"/>
        </w:rPr>
      </w:pPr>
      <w:r>
        <w:rPr>
          <w:rFonts w:ascii="Times New Roman" w:hAnsi="Times New Roman" w:cs="Times New Roman"/>
        </w:rPr>
        <w:t xml:space="preserve">Spiny water flea are known to be consumed by plantivorous fishes. To what extent might </w:t>
      </w:r>
      <w:r w:rsidR="000919E4">
        <w:rPr>
          <w:rFonts w:ascii="Times New Roman" w:hAnsi="Times New Roman" w:cs="Times New Roman"/>
        </w:rPr>
        <w:t xml:space="preserve">key </w:t>
      </w:r>
      <w:r>
        <w:rPr>
          <w:rFonts w:ascii="Times New Roman" w:hAnsi="Times New Roman" w:cs="Times New Roman"/>
        </w:rPr>
        <w:t xml:space="preserve">planktivory by </w:t>
      </w:r>
      <w:r w:rsidRPr="00632942">
        <w:rPr>
          <w:rFonts w:ascii="Times New Roman" w:hAnsi="Times New Roman" w:cs="Times New Roman"/>
        </w:rPr>
        <w:t>zooplanktivorous fishes</w:t>
      </w:r>
      <w:r>
        <w:rPr>
          <w:rFonts w:ascii="Times New Roman" w:hAnsi="Times New Roman" w:cs="Times New Roman"/>
        </w:rPr>
        <w:t xml:space="preserve"> such as yellow perch be a factor in the dynamics of spiny wate</w:t>
      </w:r>
      <w:r w:rsidR="0071111B">
        <w:rPr>
          <w:rFonts w:ascii="Times New Roman" w:hAnsi="Times New Roman" w:cs="Times New Roman"/>
        </w:rPr>
        <w:t>r flea? Our</w:t>
      </w:r>
      <w:r w:rsidR="00EE5247">
        <w:rPr>
          <w:rFonts w:ascii="Times New Roman" w:hAnsi="Times New Roman" w:cs="Times New Roman"/>
        </w:rPr>
        <w:t xml:space="preserve"> yellow perch diet study</w:t>
      </w:r>
      <w:r w:rsidR="00632942" w:rsidRPr="00632942">
        <w:rPr>
          <w:rFonts w:ascii="Times New Roman" w:hAnsi="Times New Roman" w:cs="Times New Roman"/>
        </w:rPr>
        <w:t xml:space="preserve"> </w:t>
      </w:r>
      <w:r>
        <w:rPr>
          <w:rFonts w:ascii="Times New Roman" w:hAnsi="Times New Roman" w:cs="Times New Roman"/>
        </w:rPr>
        <w:t>revealed that perch</w:t>
      </w:r>
      <w:r w:rsidR="00632942" w:rsidRPr="00632942">
        <w:rPr>
          <w:rFonts w:ascii="Times New Roman" w:hAnsi="Times New Roman" w:cs="Times New Roman"/>
        </w:rPr>
        <w:t xml:space="preserve"> prey heavily on spiny water flea when </w:t>
      </w:r>
      <w:r>
        <w:rPr>
          <w:rFonts w:ascii="Times New Roman" w:hAnsi="Times New Roman" w:cs="Times New Roman"/>
        </w:rPr>
        <w:t xml:space="preserve">spiny water flea are </w:t>
      </w:r>
      <w:r w:rsidR="00632942" w:rsidRPr="00632942">
        <w:rPr>
          <w:rFonts w:ascii="Times New Roman" w:hAnsi="Times New Roman" w:cs="Times New Roman"/>
        </w:rPr>
        <w:t>abundant.</w:t>
      </w:r>
      <w:r w:rsidR="009A26B6">
        <w:rPr>
          <w:rFonts w:ascii="Times New Roman" w:hAnsi="Times New Roman" w:cs="Times New Roman"/>
        </w:rPr>
        <w:t xml:space="preserve"> Perch diets in August used to consist of 60% </w:t>
      </w:r>
      <w:r w:rsidR="009A26B6">
        <w:rPr>
          <w:rFonts w:ascii="Times New Roman" w:hAnsi="Times New Roman" w:cs="Times New Roman"/>
          <w:i/>
        </w:rPr>
        <w:t>Daphnia</w:t>
      </w:r>
      <w:r w:rsidR="00D26363">
        <w:rPr>
          <w:rFonts w:ascii="Times New Roman" w:hAnsi="Times New Roman" w:cs="Times New Roman"/>
        </w:rPr>
        <w:t xml:space="preserve"> (Johnson and Kitchell 1996).</w:t>
      </w:r>
      <w:r w:rsidR="009A26B6">
        <w:rPr>
          <w:rFonts w:ascii="Times New Roman" w:hAnsi="Times New Roman" w:cs="Times New Roman"/>
        </w:rPr>
        <w:t xml:space="preserve"> </w:t>
      </w:r>
      <w:r w:rsidR="00D26363">
        <w:rPr>
          <w:rFonts w:ascii="Times New Roman" w:hAnsi="Times New Roman" w:cs="Times New Roman"/>
        </w:rPr>
        <w:t>W</w:t>
      </w:r>
      <w:r w:rsidR="009A26B6">
        <w:rPr>
          <w:rFonts w:ascii="Times New Roman" w:hAnsi="Times New Roman" w:cs="Times New Roman"/>
        </w:rPr>
        <w:t xml:space="preserve">e estimate </w:t>
      </w:r>
      <w:r w:rsidR="00D26363">
        <w:rPr>
          <w:rFonts w:ascii="Times New Roman" w:hAnsi="Times New Roman" w:cs="Times New Roman"/>
        </w:rPr>
        <w:t xml:space="preserve">that perch diets </w:t>
      </w:r>
      <w:r w:rsidR="009A26B6">
        <w:rPr>
          <w:rFonts w:ascii="Times New Roman" w:hAnsi="Times New Roman" w:cs="Times New Roman"/>
        </w:rPr>
        <w:t xml:space="preserve">are now comprised of less than 1% </w:t>
      </w:r>
      <w:r w:rsidR="009A26B6">
        <w:rPr>
          <w:rFonts w:ascii="Times New Roman" w:hAnsi="Times New Roman" w:cs="Times New Roman"/>
          <w:i/>
        </w:rPr>
        <w:t xml:space="preserve">Daphnia </w:t>
      </w:r>
      <w:r w:rsidR="009A26B6">
        <w:rPr>
          <w:rFonts w:ascii="Times New Roman" w:hAnsi="Times New Roman" w:cs="Times New Roman"/>
        </w:rPr>
        <w:t>and 47% spiny water flea. Despite this massive diet shift, we have observed no changes in perch condition. However, further attention must be paid to this valuable fishery.</w:t>
      </w:r>
      <w:r w:rsidR="00632942" w:rsidRPr="00632942">
        <w:rPr>
          <w:rFonts w:ascii="Times New Roman" w:hAnsi="Times New Roman" w:cs="Times New Roman"/>
        </w:rPr>
        <w:t xml:space="preserve"> </w:t>
      </w:r>
      <w:r w:rsidR="009A26B6">
        <w:rPr>
          <w:rFonts w:ascii="Times New Roman" w:hAnsi="Times New Roman" w:cs="Times New Roman"/>
        </w:rPr>
        <w:t>T</w:t>
      </w:r>
      <w:r w:rsidR="00632942" w:rsidRPr="00632942">
        <w:rPr>
          <w:rFonts w:ascii="Times New Roman" w:hAnsi="Times New Roman" w:cs="Times New Roman"/>
        </w:rPr>
        <w:t xml:space="preserve">he </w:t>
      </w:r>
      <w:r>
        <w:rPr>
          <w:rFonts w:ascii="Times New Roman" w:hAnsi="Times New Roman" w:cs="Times New Roman"/>
        </w:rPr>
        <w:t>decline</w:t>
      </w:r>
      <w:r w:rsidR="00632942" w:rsidRPr="00632942">
        <w:rPr>
          <w:rFonts w:ascii="Times New Roman" w:hAnsi="Times New Roman" w:cs="Times New Roman"/>
        </w:rPr>
        <w:t xml:space="preserve"> of native Daphnia</w:t>
      </w:r>
      <w:r>
        <w:rPr>
          <w:rFonts w:ascii="Times New Roman" w:hAnsi="Times New Roman" w:cs="Times New Roman"/>
        </w:rPr>
        <w:t>, a key food item for perch,</w:t>
      </w:r>
      <w:r w:rsidR="00632942" w:rsidRPr="00632942">
        <w:rPr>
          <w:rFonts w:ascii="Times New Roman" w:hAnsi="Times New Roman" w:cs="Times New Roman"/>
        </w:rPr>
        <w:t xml:space="preserve"> may negatively affect perch. </w:t>
      </w:r>
      <w:r>
        <w:rPr>
          <w:rFonts w:ascii="Times New Roman" w:hAnsi="Times New Roman" w:cs="Times New Roman"/>
        </w:rPr>
        <w:t xml:space="preserve">We were unable to detect any substantial </w:t>
      </w:r>
      <w:r>
        <w:rPr>
          <w:rFonts w:ascii="Times New Roman" w:hAnsi="Times New Roman" w:cs="Times New Roman"/>
        </w:rPr>
        <w:lastRenderedPageBreak/>
        <w:t xml:space="preserve">changes in </w:t>
      </w:r>
      <w:r w:rsidR="009E2A5E">
        <w:rPr>
          <w:rFonts w:ascii="Times New Roman" w:hAnsi="Times New Roman" w:cs="Times New Roman"/>
        </w:rPr>
        <w:t xml:space="preserve">overall </w:t>
      </w:r>
      <w:r>
        <w:rPr>
          <w:rFonts w:ascii="Times New Roman" w:hAnsi="Times New Roman" w:cs="Times New Roman"/>
        </w:rPr>
        <w:t>perch populations, though our</w:t>
      </w:r>
      <w:r w:rsidR="00EE5247">
        <w:rPr>
          <w:rFonts w:ascii="Times New Roman" w:hAnsi="Times New Roman" w:cs="Times New Roman"/>
        </w:rPr>
        <w:t xml:space="preserve"> fish</w:t>
      </w:r>
      <w:r>
        <w:rPr>
          <w:rFonts w:ascii="Times New Roman" w:hAnsi="Times New Roman" w:cs="Times New Roman"/>
        </w:rPr>
        <w:t xml:space="preserve"> sampling is not particularly sensitive to detecting population changes.</w:t>
      </w:r>
      <w:r w:rsidR="009E2A5E">
        <w:rPr>
          <w:rFonts w:ascii="Times New Roman" w:hAnsi="Times New Roman" w:cs="Times New Roman"/>
        </w:rPr>
        <w:t xml:space="preserve"> </w:t>
      </w:r>
      <w:r>
        <w:rPr>
          <w:rFonts w:ascii="Times New Roman" w:hAnsi="Times New Roman" w:cs="Times New Roman"/>
        </w:rPr>
        <w:t>Our</w:t>
      </w:r>
      <w:r w:rsidR="00632942" w:rsidRPr="00632942">
        <w:rPr>
          <w:rFonts w:ascii="Times New Roman" w:hAnsi="Times New Roman" w:cs="Times New Roman"/>
        </w:rPr>
        <w:t xml:space="preserve"> work highlights the potential role of </w:t>
      </w:r>
      <w:r w:rsidRPr="00632942">
        <w:rPr>
          <w:rFonts w:ascii="Times New Roman" w:hAnsi="Times New Roman" w:cs="Times New Roman"/>
        </w:rPr>
        <w:t xml:space="preserve">zooplanktivorous </w:t>
      </w:r>
      <w:r>
        <w:rPr>
          <w:rFonts w:ascii="Times New Roman" w:hAnsi="Times New Roman" w:cs="Times New Roman"/>
        </w:rPr>
        <w:t>fishes such as perch</w:t>
      </w:r>
      <w:r w:rsidR="0068201F">
        <w:rPr>
          <w:rFonts w:ascii="Times New Roman" w:hAnsi="Times New Roman" w:cs="Times New Roman"/>
        </w:rPr>
        <w:t xml:space="preserve"> that select for spiny water flea (spiny water flea is represented ~47% in diets and ~1% in zooplankton community)</w:t>
      </w:r>
      <w:r>
        <w:rPr>
          <w:rFonts w:ascii="Times New Roman" w:hAnsi="Times New Roman" w:cs="Times New Roman"/>
        </w:rPr>
        <w:t>. To what extent might</w:t>
      </w:r>
      <w:r w:rsidR="00632942" w:rsidRPr="00632942">
        <w:rPr>
          <w:rFonts w:ascii="Times New Roman" w:hAnsi="Times New Roman" w:cs="Times New Roman"/>
        </w:rPr>
        <w:t xml:space="preserve"> fisheries management </w:t>
      </w:r>
      <w:r>
        <w:rPr>
          <w:rFonts w:ascii="Times New Roman" w:hAnsi="Times New Roman" w:cs="Times New Roman"/>
        </w:rPr>
        <w:t xml:space="preserve">be used to help limit SWF populations? This is a key question that should be addressed in the future using bioenergetics simulations. </w:t>
      </w:r>
    </w:p>
    <w:p w14:paraId="5A7A95B5" w14:textId="3637EFE3" w:rsidR="0071111B" w:rsidRDefault="0071111B" w:rsidP="002C18D3">
      <w:pPr>
        <w:spacing w:line="360" w:lineRule="auto"/>
        <w:rPr>
          <w:rFonts w:ascii="Times New Roman" w:hAnsi="Times New Roman" w:cs="Times New Roman"/>
        </w:rPr>
      </w:pPr>
      <w:r w:rsidRPr="0071111B">
        <w:rPr>
          <w:rFonts w:ascii="Times New Roman" w:hAnsi="Times New Roman" w:cs="Times New Roman"/>
          <w:noProof/>
        </w:rPr>
        <mc:AlternateContent>
          <mc:Choice Requires="wps">
            <w:drawing>
              <wp:anchor distT="0" distB="0" distL="114300" distR="114300" simplePos="0" relativeHeight="251675136" behindDoc="0" locked="0" layoutInCell="1" allowOverlap="1" wp14:anchorId="1AFA974E" wp14:editId="3D32D1EC">
                <wp:simplePos x="0" y="0"/>
                <wp:positionH relativeFrom="column">
                  <wp:posOffset>-153670</wp:posOffset>
                </wp:positionH>
                <wp:positionV relativeFrom="paragraph">
                  <wp:posOffset>121285</wp:posOffset>
                </wp:positionV>
                <wp:extent cx="5636895" cy="6142355"/>
                <wp:effectExtent l="0" t="0" r="20955"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895" cy="6142355"/>
                        </a:xfrm>
                        <a:prstGeom prst="rect">
                          <a:avLst/>
                        </a:prstGeom>
                        <a:solidFill>
                          <a:srgbClr val="FFFFFF"/>
                        </a:solidFill>
                        <a:ln w="9525">
                          <a:solidFill>
                            <a:srgbClr val="000000"/>
                          </a:solidFill>
                          <a:miter lim="800000"/>
                          <a:headEnd/>
                          <a:tailEnd/>
                        </a:ln>
                      </wps:spPr>
                      <wps:txbx>
                        <w:txbxContent>
                          <w:p w14:paraId="2BCE34E5" w14:textId="77777777" w:rsidR="0071111B" w:rsidRDefault="0071111B" w:rsidP="0071111B">
                            <w:r>
                              <w:rPr>
                                <w:rFonts w:ascii="Times New Roman" w:hAnsi="Times New Roman" w:cs="Times New Roman"/>
                                <w:noProof/>
                              </w:rPr>
                              <w:drawing>
                                <wp:inline distT="0" distB="0" distL="0" distR="0" wp14:anchorId="46E477BD" wp14:editId="45D2774F">
                                  <wp:extent cx="4187825" cy="5412036"/>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ma2_all_highres.jpg"/>
                                          <pic:cNvPicPr/>
                                        </pic:nvPicPr>
                                        <pic:blipFill>
                                          <a:blip r:embed="rId9">
                                            <a:extLst>
                                              <a:ext uri="{28A0092B-C50C-407E-A947-70E740481C1C}">
                                                <a14:useLocalDpi xmlns:a14="http://schemas.microsoft.com/office/drawing/2010/main" val="0"/>
                                              </a:ext>
                                            </a:extLst>
                                          </a:blip>
                                          <a:stretch>
                                            <a:fillRect/>
                                          </a:stretch>
                                        </pic:blipFill>
                                        <pic:spPr>
                                          <a:xfrm>
                                            <a:off x="0" y="0"/>
                                            <a:ext cx="4187825" cy="5412036"/>
                                          </a:xfrm>
                                          <a:prstGeom prst="rect">
                                            <a:avLst/>
                                          </a:prstGeom>
                                        </pic:spPr>
                                      </pic:pic>
                                    </a:graphicData>
                                  </a:graphic>
                                </wp:inline>
                              </w:drawing>
                            </w:r>
                          </w:p>
                          <w:p w14:paraId="20CFFD80" w14:textId="574CE3CF" w:rsidR="0071111B" w:rsidRPr="0071111B" w:rsidRDefault="0071111B" w:rsidP="0071111B">
                            <w:pPr>
                              <w:rPr>
                                <w:rFonts w:ascii="Times New Roman" w:hAnsi="Times New Roman" w:cs="Times New Roman"/>
                                <w:sz w:val="22"/>
                              </w:rPr>
                            </w:pPr>
                            <w:r w:rsidRPr="0071111B">
                              <w:rPr>
                                <w:rFonts w:ascii="Times New Roman" w:hAnsi="Times New Roman" w:cs="Times New Roman"/>
                                <w:sz w:val="22"/>
                              </w:rPr>
                              <w:t xml:space="preserve">Fig. 1. </w:t>
                            </w:r>
                            <w:r>
                              <w:rPr>
                                <w:rFonts w:ascii="Times New Roman" w:hAnsi="Times New Roman" w:cs="Times New Roman"/>
                                <w:sz w:val="22"/>
                              </w:rPr>
                              <w:t xml:space="preserve">Maps showing suitablility to SWF under different climate scenarios. </w:t>
                            </w:r>
                            <w:r w:rsidRPr="0071111B">
                              <w:rPr>
                                <w:rFonts w:ascii="Times New Roman" w:hAnsi="Times New Roman" w:cs="Times New Roman"/>
                                <w:sz w:val="22"/>
                              </w:rPr>
                              <w:t>Lake Mendota (WI) and Mille Lacs Lake (MN) and indicated by X. Spiny water flea was detected in both lakes in the cool summer of 2009. MJT = Mean July Air Temperature and is used to model lake water surface temperature.</w:t>
                            </w:r>
                          </w:p>
                          <w:p w14:paraId="663CD5D7" w14:textId="77777777" w:rsidR="0071111B" w:rsidRDefault="0071111B" w:rsidP="00711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1pt;margin-top:9.55pt;width:443.85pt;height:483.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">
                <v:textbox>
                  <w:txbxContent>
                    <w:p w14:paraId="2BCE34E5" w14:textId="77777777" w:rsidR="0071111B" w:rsidRDefault="0071111B" w:rsidP="0071111B">
                      <w:r>
                        <w:rPr>
                          <w:rFonts w:ascii="Times New Roman" w:hAnsi="Times New Roman" w:cs="Times New Roman"/>
                          <w:noProof/>
                        </w:rPr>
                        <w:drawing>
                          <wp:inline distT="0" distB="0" distL="0" distR="0" wp14:anchorId="46E477BD" wp14:editId="45D2774F">
                            <wp:extent cx="4187825" cy="5412036"/>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ma2_all_highres.jpg"/>
                                    <pic:cNvPicPr/>
                                  </pic:nvPicPr>
                                  <pic:blipFill>
                                    <a:blip r:embed="rId10">
                                      <a:extLst>
                                        <a:ext uri="{28A0092B-C50C-407E-A947-70E740481C1C}">
                                          <a14:useLocalDpi xmlns:a14="http://schemas.microsoft.com/office/drawing/2010/main" val="0"/>
                                        </a:ext>
                                      </a:extLst>
                                    </a:blip>
                                    <a:stretch>
                                      <a:fillRect/>
                                    </a:stretch>
                                  </pic:blipFill>
                                  <pic:spPr>
                                    <a:xfrm>
                                      <a:off x="0" y="0"/>
                                      <a:ext cx="4187825" cy="5412036"/>
                                    </a:xfrm>
                                    <a:prstGeom prst="rect">
                                      <a:avLst/>
                                    </a:prstGeom>
                                  </pic:spPr>
                                </pic:pic>
                              </a:graphicData>
                            </a:graphic>
                          </wp:inline>
                        </w:drawing>
                      </w:r>
                    </w:p>
                    <w:p w14:paraId="20CFFD80" w14:textId="574CE3CF" w:rsidR="0071111B" w:rsidRPr="0071111B" w:rsidRDefault="0071111B" w:rsidP="0071111B">
                      <w:pPr>
                        <w:rPr>
                          <w:rFonts w:ascii="Times New Roman" w:hAnsi="Times New Roman" w:cs="Times New Roman"/>
                          <w:sz w:val="22"/>
                        </w:rPr>
                      </w:pPr>
                      <w:r w:rsidRPr="0071111B">
                        <w:rPr>
                          <w:rFonts w:ascii="Times New Roman" w:hAnsi="Times New Roman" w:cs="Times New Roman"/>
                          <w:sz w:val="22"/>
                        </w:rPr>
                        <w:t xml:space="preserve">Fig. 1. </w:t>
                      </w:r>
                      <w:r>
                        <w:rPr>
                          <w:rFonts w:ascii="Times New Roman" w:hAnsi="Times New Roman" w:cs="Times New Roman"/>
                          <w:sz w:val="22"/>
                        </w:rPr>
                        <w:t xml:space="preserve">Maps showing suitablility to SWF under different climate scenarios. </w:t>
                      </w:r>
                      <w:r w:rsidRPr="0071111B">
                        <w:rPr>
                          <w:rFonts w:ascii="Times New Roman" w:hAnsi="Times New Roman" w:cs="Times New Roman"/>
                          <w:sz w:val="22"/>
                        </w:rPr>
                        <w:t>Lake Mendota (WI) and Mille Lacs Lake (MN) and indicated by X. Spiny water flea was detected in both lakes in the cool summer of 2009. MJT = Mean July Air Temperature and is used to model lake water surface temperature.</w:t>
                      </w:r>
                    </w:p>
                    <w:p w14:paraId="663CD5D7" w14:textId="77777777" w:rsidR="0071111B" w:rsidRDefault="0071111B" w:rsidP="0071111B"/>
                  </w:txbxContent>
                </v:textbox>
                <w10:wrap type="square"/>
              </v:shape>
            </w:pict>
          </mc:Fallback>
        </mc:AlternateContent>
      </w:r>
    </w:p>
    <w:p w14:paraId="0F86C9F6" w14:textId="04201B23" w:rsidR="009E2A5E" w:rsidRDefault="009E2A5E" w:rsidP="002C18D3">
      <w:pPr>
        <w:spacing w:line="360" w:lineRule="auto"/>
        <w:rPr>
          <w:rFonts w:ascii="Times New Roman" w:hAnsi="Times New Roman" w:cs="Times New Roman"/>
        </w:rPr>
      </w:pPr>
      <w:r>
        <w:rPr>
          <w:rFonts w:ascii="Times New Roman" w:hAnsi="Times New Roman" w:cs="Times New Roman"/>
        </w:rPr>
        <w:lastRenderedPageBreak/>
        <w:t>In our efforts to understand impact, w</w:t>
      </w:r>
      <w:r w:rsidRPr="009E2A5E">
        <w:rPr>
          <w:rFonts w:ascii="Times New Roman" w:hAnsi="Times New Roman" w:cs="Times New Roman"/>
        </w:rPr>
        <w:t xml:space="preserve">e developed a population model of SWF. The model </w:t>
      </w:r>
      <w:r>
        <w:rPr>
          <w:rFonts w:ascii="Times New Roman" w:hAnsi="Times New Roman" w:cs="Times New Roman"/>
        </w:rPr>
        <w:t xml:space="preserve">strongly </w:t>
      </w:r>
      <w:r w:rsidRPr="009E2A5E">
        <w:rPr>
          <w:rFonts w:ascii="Times New Roman" w:hAnsi="Times New Roman" w:cs="Times New Roman"/>
        </w:rPr>
        <w:t xml:space="preserve">predicted the invasion of SWF in the Madison lakes in 2009. This model can be used as a mechanistic ecological niche model, and be used to make predictions of SWF </w:t>
      </w:r>
      <w:r w:rsidR="00EE5247">
        <w:rPr>
          <w:rFonts w:ascii="Times New Roman" w:hAnsi="Times New Roman" w:cs="Times New Roman"/>
        </w:rPr>
        <w:t xml:space="preserve">invasion </w:t>
      </w:r>
      <w:r w:rsidRPr="009E2A5E">
        <w:rPr>
          <w:rFonts w:ascii="Times New Roman" w:hAnsi="Times New Roman" w:cs="Times New Roman"/>
        </w:rPr>
        <w:t>in other systems</w:t>
      </w:r>
      <w:r w:rsidR="00EE5247">
        <w:rPr>
          <w:rFonts w:ascii="Times New Roman" w:hAnsi="Times New Roman" w:cs="Times New Roman"/>
        </w:rPr>
        <w:t>,</w:t>
      </w:r>
      <w:r w:rsidRPr="009E2A5E">
        <w:rPr>
          <w:rFonts w:ascii="Times New Roman" w:hAnsi="Times New Roman" w:cs="Times New Roman"/>
        </w:rPr>
        <w:t xml:space="preserve"> and </w:t>
      </w:r>
      <w:r w:rsidR="00EE5247">
        <w:rPr>
          <w:rFonts w:ascii="Times New Roman" w:hAnsi="Times New Roman" w:cs="Times New Roman"/>
        </w:rPr>
        <w:t xml:space="preserve">in the future </w:t>
      </w:r>
      <w:r w:rsidRPr="009E2A5E">
        <w:rPr>
          <w:rFonts w:ascii="Times New Roman" w:hAnsi="Times New Roman" w:cs="Times New Roman"/>
        </w:rPr>
        <w:t>under various climate change scenarios</w:t>
      </w:r>
      <w:r w:rsidR="000A773D">
        <w:rPr>
          <w:rFonts w:ascii="Times New Roman" w:hAnsi="Times New Roman" w:cs="Times New Roman"/>
        </w:rPr>
        <w:t xml:space="preserve"> (Fig. 1)</w:t>
      </w:r>
      <w:r w:rsidRPr="009E2A5E">
        <w:rPr>
          <w:rFonts w:ascii="Times New Roman" w:hAnsi="Times New Roman" w:cs="Times New Roman"/>
        </w:rPr>
        <w:t xml:space="preserve">. We are also developing correlative ecological niche models for spiny water flea using MAXENT models. These models have been difficult to interpret since </w:t>
      </w:r>
      <w:r w:rsidR="00EE5247">
        <w:rPr>
          <w:rFonts w:ascii="Times New Roman" w:hAnsi="Times New Roman" w:cs="Times New Roman"/>
        </w:rPr>
        <w:t>SWF</w:t>
      </w:r>
      <w:r w:rsidRPr="009E2A5E">
        <w:rPr>
          <w:rFonts w:ascii="Times New Roman" w:hAnsi="Times New Roman" w:cs="Times New Roman"/>
        </w:rPr>
        <w:t xml:space="preserve"> inhabit different types of lakes in different parts of their range. These models are being used to project potential habitat for this species, and </w:t>
      </w:r>
      <w:r w:rsidR="00EE5247">
        <w:rPr>
          <w:rFonts w:ascii="Times New Roman" w:hAnsi="Times New Roman" w:cs="Times New Roman"/>
        </w:rPr>
        <w:t xml:space="preserve">strongly </w:t>
      </w:r>
      <w:r w:rsidRPr="009E2A5E">
        <w:rPr>
          <w:rFonts w:ascii="Times New Roman" w:hAnsi="Times New Roman" w:cs="Times New Roman"/>
        </w:rPr>
        <w:t>complement the mechanistic niche models mentioned above.</w:t>
      </w:r>
    </w:p>
    <w:p w14:paraId="3B022A13" w14:textId="01A86938" w:rsidR="009E59E0" w:rsidRDefault="009E59E0" w:rsidP="002C18D3">
      <w:pPr>
        <w:spacing w:line="360" w:lineRule="auto"/>
        <w:rPr>
          <w:rFonts w:ascii="Times New Roman" w:hAnsi="Times New Roman" w:cs="Times New Roman"/>
        </w:rPr>
      </w:pPr>
    </w:p>
    <w:p w14:paraId="7CAE2467" w14:textId="491B2525" w:rsidR="00632942" w:rsidRDefault="00632942" w:rsidP="002C18D3">
      <w:pPr>
        <w:spacing w:line="360" w:lineRule="auto"/>
        <w:rPr>
          <w:rFonts w:ascii="Times New Roman" w:hAnsi="Times New Roman" w:cs="Times New Roman"/>
        </w:rPr>
      </w:pPr>
      <w:r w:rsidRPr="006A6576">
        <w:rPr>
          <w:rFonts w:ascii="Times New Roman" w:hAnsi="Times New Roman" w:cs="Times New Roman"/>
        </w:rPr>
        <w:t xml:space="preserve">Carol Warden (WI-DNR, Trout Lake Station) </w:t>
      </w:r>
      <w:r w:rsidR="007725EA">
        <w:rPr>
          <w:rFonts w:ascii="Times New Roman" w:hAnsi="Times New Roman" w:cs="Times New Roman"/>
        </w:rPr>
        <w:t>was involved in</w:t>
      </w:r>
      <w:r w:rsidRPr="006A6576">
        <w:rPr>
          <w:rFonts w:ascii="Times New Roman" w:hAnsi="Times New Roman" w:cs="Times New Roman"/>
        </w:rPr>
        <w:t xml:space="preserve"> </w:t>
      </w:r>
      <w:r w:rsidR="0071111B">
        <w:rPr>
          <w:rFonts w:ascii="Times New Roman" w:hAnsi="Times New Roman" w:cs="Times New Roman"/>
        </w:rPr>
        <w:t>regular</w:t>
      </w:r>
      <w:r w:rsidRPr="006A6576">
        <w:rPr>
          <w:rFonts w:ascii="Times New Roman" w:hAnsi="Times New Roman" w:cs="Times New Roman"/>
        </w:rPr>
        <w:t xml:space="preserve"> sampling </w:t>
      </w:r>
      <w:r w:rsidR="007725EA">
        <w:rPr>
          <w:rFonts w:ascii="Times New Roman" w:hAnsi="Times New Roman" w:cs="Times New Roman"/>
        </w:rPr>
        <w:t>for</w:t>
      </w:r>
      <w:r w:rsidRPr="006A6576">
        <w:rPr>
          <w:rFonts w:ascii="Times New Roman" w:hAnsi="Times New Roman" w:cs="Times New Roman"/>
        </w:rPr>
        <w:t xml:space="preserve"> </w:t>
      </w:r>
      <w:r w:rsidR="007725EA">
        <w:rPr>
          <w:rFonts w:ascii="Times New Roman" w:hAnsi="Times New Roman" w:cs="Times New Roman"/>
        </w:rPr>
        <w:t xml:space="preserve">zooplankton and </w:t>
      </w:r>
      <w:r w:rsidR="007725EA" w:rsidRPr="006A6576">
        <w:rPr>
          <w:rFonts w:ascii="Times New Roman" w:hAnsi="Times New Roman" w:cs="Times New Roman"/>
        </w:rPr>
        <w:t>limnologic</w:t>
      </w:r>
      <w:r w:rsidR="000A773D">
        <w:rPr>
          <w:rFonts w:ascii="Times New Roman" w:hAnsi="Times New Roman" w:cs="Times New Roman"/>
        </w:rPr>
        <w:t xml:space="preserve">al characteristics (temperature, </w:t>
      </w:r>
      <w:r w:rsidR="007725EA" w:rsidRPr="006A6576">
        <w:rPr>
          <w:rFonts w:ascii="Times New Roman" w:hAnsi="Times New Roman" w:cs="Times New Roman"/>
        </w:rPr>
        <w:t>dissolved oxygen profiles, secchi depth)</w:t>
      </w:r>
      <w:r w:rsidR="007725EA">
        <w:rPr>
          <w:rFonts w:ascii="Times New Roman" w:hAnsi="Times New Roman" w:cs="Times New Roman"/>
        </w:rPr>
        <w:t xml:space="preserve"> in </w:t>
      </w:r>
      <w:r w:rsidRPr="006A6576">
        <w:rPr>
          <w:rFonts w:ascii="Times New Roman" w:hAnsi="Times New Roman" w:cs="Times New Roman"/>
        </w:rPr>
        <w:t xml:space="preserve">Stormy Lake and the Gile Flowage using </w:t>
      </w:r>
      <w:r w:rsidR="000A773D">
        <w:rPr>
          <w:rFonts w:ascii="Times New Roman" w:hAnsi="Times New Roman" w:cs="Times New Roman"/>
        </w:rPr>
        <w:t xml:space="preserve">the </w:t>
      </w:r>
      <w:r w:rsidRPr="006A6576">
        <w:rPr>
          <w:rFonts w:ascii="Times New Roman" w:hAnsi="Times New Roman" w:cs="Times New Roman"/>
        </w:rPr>
        <w:t xml:space="preserve">methods employed on the southern lakes. </w:t>
      </w:r>
      <w:r w:rsidR="007C234E">
        <w:rPr>
          <w:rFonts w:ascii="Times New Roman" w:hAnsi="Times New Roman" w:cs="Times New Roman"/>
        </w:rPr>
        <w:t>The resulting products</w:t>
      </w:r>
      <w:r w:rsidR="00D809B4">
        <w:rPr>
          <w:rFonts w:ascii="Times New Roman" w:hAnsi="Times New Roman" w:cs="Times New Roman"/>
        </w:rPr>
        <w:t xml:space="preserve"> of this monitoring can be found on our collaborators’ webpages (e.g. </w:t>
      </w:r>
      <w:r w:rsidR="00D809B4" w:rsidRPr="00D809B4">
        <w:rPr>
          <w:rFonts w:ascii="Times New Roman" w:hAnsi="Times New Roman" w:cs="Times New Roman"/>
        </w:rPr>
        <w:t>http://www.friendsofthegile.org/home/flowage-publications</w:t>
      </w:r>
      <w:r w:rsidR="00D809B4">
        <w:rPr>
          <w:rFonts w:ascii="Times New Roman" w:hAnsi="Times New Roman" w:cs="Times New Roman"/>
        </w:rPr>
        <w:t>)</w:t>
      </w:r>
      <w:r w:rsidR="000A773D">
        <w:rPr>
          <w:rFonts w:ascii="Times New Roman" w:hAnsi="Times New Roman" w:cs="Times New Roman"/>
        </w:rPr>
        <w:t>, and w</w:t>
      </w:r>
      <w:r w:rsidR="00D809B4">
        <w:rPr>
          <w:rFonts w:ascii="Times New Roman" w:hAnsi="Times New Roman" w:cs="Times New Roman"/>
        </w:rPr>
        <w:t xml:space="preserve">e worked with Whitewater Associates, Friends of the Gile Flowage, Lake Gogebic Association, and the Stormy Lake Association. Jake Walsh attended and presented at annual meetings with </w:t>
      </w:r>
      <w:r w:rsidR="000A773D">
        <w:rPr>
          <w:rFonts w:ascii="Times New Roman" w:hAnsi="Times New Roman" w:cs="Times New Roman"/>
        </w:rPr>
        <w:t xml:space="preserve">this set of </w:t>
      </w:r>
      <w:r w:rsidR="00D809B4">
        <w:rPr>
          <w:rFonts w:ascii="Times New Roman" w:hAnsi="Times New Roman" w:cs="Times New Roman"/>
        </w:rPr>
        <w:t>collaborators from 2011 – 2013.</w:t>
      </w:r>
    </w:p>
    <w:p w14:paraId="7B6596D9" w14:textId="33DD2E64" w:rsidR="009E59E0" w:rsidRDefault="003F4733" w:rsidP="002C18D3">
      <w:pPr>
        <w:spacing w:line="360" w:lineRule="auto"/>
        <w:rPr>
          <w:rFonts w:ascii="Times New Roman" w:hAnsi="Times New Roman" w:cs="Times New Roman"/>
        </w:rPr>
      </w:pPr>
      <w:r w:rsidRPr="000A773D">
        <w:rPr>
          <w:rFonts w:ascii="Times New Roman" w:hAnsi="Times New Roman" w:cs="Times New Roman"/>
          <w:noProof/>
        </w:rPr>
        <mc:AlternateContent>
          <mc:Choice Requires="wps">
            <w:drawing>
              <wp:anchor distT="0" distB="0" distL="114300" distR="114300" simplePos="0" relativeHeight="251677184" behindDoc="1" locked="0" layoutInCell="1" allowOverlap="1" wp14:anchorId="652B321E" wp14:editId="756801DE">
                <wp:simplePos x="0" y="0"/>
                <wp:positionH relativeFrom="column">
                  <wp:posOffset>-311785</wp:posOffset>
                </wp:positionH>
                <wp:positionV relativeFrom="paragraph">
                  <wp:posOffset>188595</wp:posOffset>
                </wp:positionV>
                <wp:extent cx="3883025" cy="3281045"/>
                <wp:effectExtent l="0" t="0" r="22225" b="14605"/>
                <wp:wrapTight wrapText="bothSides">
                  <wp:wrapPolygon edited="0">
                    <wp:start x="0" y="0"/>
                    <wp:lineTo x="0" y="21571"/>
                    <wp:lineTo x="21618" y="21571"/>
                    <wp:lineTo x="21618"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025" cy="3281045"/>
                        </a:xfrm>
                        <a:prstGeom prst="rect">
                          <a:avLst/>
                        </a:prstGeom>
                        <a:solidFill>
                          <a:srgbClr val="FFFFFF"/>
                        </a:solidFill>
                        <a:ln w="9525">
                          <a:solidFill>
                            <a:srgbClr val="000000"/>
                          </a:solidFill>
                          <a:miter lim="800000"/>
                          <a:headEnd/>
                          <a:tailEnd/>
                        </a:ln>
                      </wps:spPr>
                      <wps:txbx>
                        <w:txbxContent>
                          <w:p w14:paraId="5D66FE86" w14:textId="2D196232" w:rsidR="000A773D" w:rsidRDefault="000A773D">
                            <w:r>
                              <w:rPr>
                                <w:noProof/>
                              </w:rPr>
                              <w:drawing>
                                <wp:inline distT="0" distB="0" distL="0" distR="0" wp14:anchorId="41D8E351" wp14:editId="63555D3B">
                                  <wp:extent cx="3614569" cy="2710927"/>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sity_bylake_byseason.pdf"/>
                                          <pic:cNvPicPr/>
                                        </pic:nvPicPr>
                                        <pic:blipFill>
                                          <a:blip r:embed="rId11">
                                            <a:extLst>
                                              <a:ext uri="{28A0092B-C50C-407E-A947-70E740481C1C}">
                                                <a14:useLocalDpi xmlns:a14="http://schemas.microsoft.com/office/drawing/2010/main" val="0"/>
                                              </a:ext>
                                            </a:extLst>
                                          </a:blip>
                                          <a:stretch>
                                            <a:fillRect/>
                                          </a:stretch>
                                        </pic:blipFill>
                                        <pic:spPr>
                                          <a:xfrm>
                                            <a:off x="0" y="0"/>
                                            <a:ext cx="3616797" cy="2712598"/>
                                          </a:xfrm>
                                          <a:prstGeom prst="rect">
                                            <a:avLst/>
                                          </a:prstGeom>
                                        </pic:spPr>
                                      </pic:pic>
                                    </a:graphicData>
                                  </a:graphic>
                                </wp:inline>
                              </w:drawing>
                            </w:r>
                          </w:p>
                          <w:p w14:paraId="459DE40F" w14:textId="4FDD0E3B" w:rsidR="000A773D" w:rsidRPr="003F4733" w:rsidRDefault="000A773D">
                            <w:pPr>
                              <w:rPr>
                                <w:sz w:val="22"/>
                              </w:rPr>
                            </w:pPr>
                            <w:r w:rsidRPr="003F4733">
                              <w:rPr>
                                <w:sz w:val="22"/>
                              </w:rPr>
                              <w:t>Fig 2. Seasonal abudance of SWF in Gile Flowage and Stormy Lake.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55pt;margin-top:14.85pt;width:305.75pt;height:258.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">
                <v:textbox>
                  <w:txbxContent>
                    <w:p w14:paraId="5D66FE86" w14:textId="2D196232" w:rsidR="000A773D" w:rsidRDefault="000A773D">
                      <w:r>
                        <w:rPr>
                          <w:noProof/>
                        </w:rPr>
                        <w:drawing>
                          <wp:inline distT="0" distB="0" distL="0" distR="0" wp14:anchorId="41D8E351" wp14:editId="63555D3B">
                            <wp:extent cx="3614569" cy="2710927"/>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sity_bylake_byseason.pdf"/>
                                    <pic:cNvPicPr/>
                                  </pic:nvPicPr>
                                  <pic:blipFill>
                                    <a:blip r:embed="rId12">
                                      <a:extLst>
                                        <a:ext uri="{28A0092B-C50C-407E-A947-70E740481C1C}">
                                          <a14:useLocalDpi xmlns:a14="http://schemas.microsoft.com/office/drawing/2010/main" val="0"/>
                                        </a:ext>
                                      </a:extLst>
                                    </a:blip>
                                    <a:stretch>
                                      <a:fillRect/>
                                    </a:stretch>
                                  </pic:blipFill>
                                  <pic:spPr>
                                    <a:xfrm>
                                      <a:off x="0" y="0"/>
                                      <a:ext cx="3616797" cy="2712598"/>
                                    </a:xfrm>
                                    <a:prstGeom prst="rect">
                                      <a:avLst/>
                                    </a:prstGeom>
                                  </pic:spPr>
                                </pic:pic>
                              </a:graphicData>
                            </a:graphic>
                          </wp:inline>
                        </w:drawing>
                      </w:r>
                    </w:p>
                    <w:p w14:paraId="459DE40F" w14:textId="4FDD0E3B" w:rsidR="000A773D" w:rsidRPr="003F4733" w:rsidRDefault="000A773D">
                      <w:pPr>
                        <w:rPr>
                          <w:sz w:val="22"/>
                        </w:rPr>
                      </w:pPr>
                      <w:r w:rsidRPr="003F4733">
                        <w:rPr>
                          <w:sz w:val="22"/>
                        </w:rPr>
                        <w:t>Fig 2. Seasonal abudance of SWF in Gile Flowage and Stormy Lake.</w:t>
                      </w:r>
                    </w:p>
                  </w:txbxContent>
                </v:textbox>
                <w10:wrap type="tight"/>
              </v:shape>
            </w:pict>
          </mc:Fallback>
        </mc:AlternateContent>
      </w:r>
    </w:p>
    <w:p w14:paraId="04D8B8D3" w14:textId="386C754F" w:rsidR="00322568" w:rsidRPr="006A6576" w:rsidRDefault="00322568" w:rsidP="002C18D3">
      <w:pPr>
        <w:spacing w:line="360" w:lineRule="auto"/>
        <w:rPr>
          <w:rFonts w:ascii="Times New Roman" w:hAnsi="Times New Roman" w:cs="Times New Roman"/>
        </w:rPr>
      </w:pPr>
      <w:r w:rsidRPr="006A6576">
        <w:rPr>
          <w:rFonts w:ascii="Times New Roman" w:hAnsi="Times New Roman" w:cs="Times New Roman"/>
          <w:i/>
        </w:rPr>
        <w:t>Early Detection</w:t>
      </w:r>
      <w:r w:rsidRPr="006A6576">
        <w:rPr>
          <w:rFonts w:ascii="Times New Roman" w:hAnsi="Times New Roman" w:cs="Times New Roman"/>
        </w:rPr>
        <w:t xml:space="preserve"> – </w:t>
      </w:r>
      <w:r w:rsidR="007725EA">
        <w:rPr>
          <w:rFonts w:ascii="Times New Roman" w:hAnsi="Times New Roman" w:cs="Times New Roman"/>
        </w:rPr>
        <w:t>The second objective was to improve our ability to</w:t>
      </w:r>
      <w:r w:rsidRPr="006A6576">
        <w:rPr>
          <w:rFonts w:ascii="Times New Roman" w:hAnsi="Times New Roman" w:cs="Times New Roman"/>
        </w:rPr>
        <w:t xml:space="preserve"> accurately and efficientl</w:t>
      </w:r>
      <w:r w:rsidR="007725EA">
        <w:rPr>
          <w:rFonts w:ascii="Times New Roman" w:hAnsi="Times New Roman" w:cs="Times New Roman"/>
        </w:rPr>
        <w:t xml:space="preserve">y detect spiny water flea. </w:t>
      </w:r>
      <w:r w:rsidR="00C24E63">
        <w:rPr>
          <w:rFonts w:ascii="Times New Roman" w:hAnsi="Times New Roman" w:cs="Times New Roman"/>
        </w:rPr>
        <w:t xml:space="preserve">We </w:t>
      </w:r>
      <w:r w:rsidR="0008085A">
        <w:rPr>
          <w:rFonts w:ascii="Times New Roman" w:hAnsi="Times New Roman" w:cs="Times New Roman"/>
        </w:rPr>
        <w:t>evaluated</w:t>
      </w:r>
      <w:r w:rsidR="007725EA">
        <w:rPr>
          <w:rFonts w:ascii="Times New Roman" w:hAnsi="Times New Roman" w:cs="Times New Roman"/>
        </w:rPr>
        <w:t xml:space="preserve"> </w:t>
      </w:r>
      <w:r w:rsidRPr="006A6576">
        <w:rPr>
          <w:rFonts w:ascii="Times New Roman" w:hAnsi="Times New Roman" w:cs="Times New Roman"/>
        </w:rPr>
        <w:t>zooplankton tows</w:t>
      </w:r>
      <w:r w:rsidR="007725EA">
        <w:rPr>
          <w:rFonts w:ascii="Times New Roman" w:hAnsi="Times New Roman" w:cs="Times New Roman"/>
        </w:rPr>
        <w:t>, as well as</w:t>
      </w:r>
      <w:r w:rsidR="001E2209" w:rsidRPr="006A6576">
        <w:rPr>
          <w:rFonts w:ascii="Times New Roman" w:hAnsi="Times New Roman" w:cs="Times New Roman"/>
        </w:rPr>
        <w:t xml:space="preserve"> </w:t>
      </w:r>
      <w:r w:rsidR="00353A2F" w:rsidRPr="006A6576">
        <w:rPr>
          <w:rFonts w:ascii="Times New Roman" w:hAnsi="Times New Roman" w:cs="Times New Roman"/>
        </w:rPr>
        <w:t>sampling lake</w:t>
      </w:r>
      <w:r w:rsidR="001E2209" w:rsidRPr="006A6576">
        <w:rPr>
          <w:rFonts w:ascii="Times New Roman" w:hAnsi="Times New Roman" w:cs="Times New Roman"/>
        </w:rPr>
        <w:t xml:space="preserve"> sediment</w:t>
      </w:r>
      <w:r w:rsidR="00353A2F" w:rsidRPr="006A6576">
        <w:rPr>
          <w:rFonts w:ascii="Times New Roman" w:hAnsi="Times New Roman" w:cs="Times New Roman"/>
        </w:rPr>
        <w:t>s for tail spines and resting eggs</w:t>
      </w:r>
      <w:r w:rsidRPr="006A6576">
        <w:rPr>
          <w:rFonts w:ascii="Times New Roman" w:hAnsi="Times New Roman" w:cs="Times New Roman"/>
        </w:rPr>
        <w:t>.</w:t>
      </w:r>
    </w:p>
    <w:p w14:paraId="32435BB4" w14:textId="73AA7954" w:rsidR="00F66122" w:rsidRDefault="00F66122" w:rsidP="002C18D3">
      <w:pPr>
        <w:spacing w:line="360" w:lineRule="auto"/>
        <w:rPr>
          <w:rFonts w:ascii="Times New Roman" w:hAnsi="Times New Roman" w:cs="Times New Roman"/>
        </w:rPr>
      </w:pPr>
    </w:p>
    <w:p w14:paraId="4D8B9E38" w14:textId="1C75B125" w:rsidR="00C24E63" w:rsidRDefault="00C24E63" w:rsidP="002C18D3">
      <w:pPr>
        <w:spacing w:line="360" w:lineRule="auto"/>
        <w:rPr>
          <w:rFonts w:ascii="Times New Roman" w:hAnsi="Times New Roman" w:cs="Times New Roman"/>
        </w:rPr>
      </w:pPr>
      <w:r>
        <w:rPr>
          <w:rFonts w:ascii="Times New Roman" w:hAnsi="Times New Roman" w:cs="Times New Roman"/>
        </w:rPr>
        <w:t>We found</w:t>
      </w:r>
      <w:r w:rsidRPr="006A6576">
        <w:rPr>
          <w:rFonts w:ascii="Times New Roman" w:hAnsi="Times New Roman" w:cs="Times New Roman"/>
        </w:rPr>
        <w:t xml:space="preserve"> spiny water flea to </w:t>
      </w:r>
      <w:r>
        <w:rPr>
          <w:rFonts w:ascii="Times New Roman" w:hAnsi="Times New Roman" w:cs="Times New Roman"/>
        </w:rPr>
        <w:t xml:space="preserve">exhibit </w:t>
      </w:r>
      <w:r w:rsidRPr="006A6576">
        <w:rPr>
          <w:rFonts w:ascii="Times New Roman" w:hAnsi="Times New Roman" w:cs="Times New Roman"/>
        </w:rPr>
        <w:t xml:space="preserve">large seasonal </w:t>
      </w:r>
      <w:r w:rsidRPr="006A6576">
        <w:rPr>
          <w:rFonts w:ascii="Times New Roman" w:hAnsi="Times New Roman" w:cs="Times New Roman"/>
        </w:rPr>
        <w:lastRenderedPageBreak/>
        <w:t xml:space="preserve">fluctuations in population density.  Monitoring in both the Yahara Lakes and the northern lakes </w:t>
      </w:r>
      <w:r>
        <w:rPr>
          <w:rFonts w:ascii="Times New Roman" w:hAnsi="Times New Roman" w:cs="Times New Roman"/>
        </w:rPr>
        <w:t>revealed highest abundance in late summer and fall</w:t>
      </w:r>
      <w:r w:rsidR="000A773D">
        <w:rPr>
          <w:rFonts w:ascii="Times New Roman" w:hAnsi="Times New Roman" w:cs="Times New Roman"/>
        </w:rPr>
        <w:t xml:space="preserve"> (Fig. 2)</w:t>
      </w:r>
      <w:r>
        <w:rPr>
          <w:rFonts w:ascii="Times New Roman" w:hAnsi="Times New Roman" w:cs="Times New Roman"/>
        </w:rPr>
        <w:t>. This has direct bearing on our ability to detect SWF. Our</w:t>
      </w:r>
      <w:r w:rsidR="007725EA" w:rsidRPr="006A6576">
        <w:rPr>
          <w:rFonts w:ascii="Times New Roman" w:hAnsi="Times New Roman" w:cs="Times New Roman"/>
        </w:rPr>
        <w:t xml:space="preserve"> detection study </w:t>
      </w:r>
      <w:r>
        <w:rPr>
          <w:rFonts w:ascii="Times New Roman" w:hAnsi="Times New Roman" w:cs="Times New Roman"/>
        </w:rPr>
        <w:t xml:space="preserve">was </w:t>
      </w:r>
      <w:r w:rsidR="007725EA" w:rsidRPr="006A6576">
        <w:rPr>
          <w:rFonts w:ascii="Times New Roman" w:hAnsi="Times New Roman" w:cs="Times New Roman"/>
        </w:rPr>
        <w:t xml:space="preserve">conducted </w:t>
      </w:r>
      <w:r>
        <w:rPr>
          <w:rFonts w:ascii="Times New Roman" w:hAnsi="Times New Roman" w:cs="Times New Roman"/>
        </w:rPr>
        <w:t>during</w:t>
      </w:r>
      <w:r w:rsidR="007725EA" w:rsidRPr="006A6576">
        <w:rPr>
          <w:rFonts w:ascii="Times New Roman" w:hAnsi="Times New Roman" w:cs="Times New Roman"/>
        </w:rPr>
        <w:t xml:space="preserve"> low spiny water flea abundance.  We </w:t>
      </w:r>
      <w:r w:rsidR="007725EA">
        <w:rPr>
          <w:rFonts w:ascii="Times New Roman" w:hAnsi="Times New Roman" w:cs="Times New Roman"/>
        </w:rPr>
        <w:t>varied</w:t>
      </w:r>
      <w:r w:rsidR="007725EA" w:rsidRPr="006A6576">
        <w:rPr>
          <w:rFonts w:ascii="Times New Roman" w:hAnsi="Times New Roman" w:cs="Times New Roman"/>
        </w:rPr>
        <w:t xml:space="preserve"> sampling intensity, timing and tow method to </w:t>
      </w:r>
      <w:r w:rsidR="007725EA">
        <w:rPr>
          <w:rFonts w:ascii="Times New Roman" w:hAnsi="Times New Roman" w:cs="Times New Roman"/>
        </w:rPr>
        <w:t>test how</w:t>
      </w:r>
      <w:r w:rsidR="007725EA" w:rsidRPr="006A6576">
        <w:rPr>
          <w:rFonts w:ascii="Times New Roman" w:hAnsi="Times New Roman" w:cs="Times New Roman"/>
        </w:rPr>
        <w:t xml:space="preserve"> effectively and efficiently </w:t>
      </w:r>
      <w:r w:rsidR="007725EA">
        <w:rPr>
          <w:rFonts w:ascii="Times New Roman" w:hAnsi="Times New Roman" w:cs="Times New Roman"/>
        </w:rPr>
        <w:t xml:space="preserve">we </w:t>
      </w:r>
      <w:r w:rsidR="007725EA" w:rsidRPr="006A6576">
        <w:rPr>
          <w:rFonts w:ascii="Times New Roman" w:hAnsi="Times New Roman" w:cs="Times New Roman"/>
        </w:rPr>
        <w:t xml:space="preserve">detect spiny water flea. </w:t>
      </w:r>
      <w:r>
        <w:rPr>
          <w:rFonts w:ascii="Times New Roman" w:hAnsi="Times New Roman" w:cs="Times New Roman"/>
        </w:rPr>
        <w:t xml:space="preserve">We compared two methods of </w:t>
      </w:r>
      <w:r w:rsidRPr="006A6576">
        <w:rPr>
          <w:rFonts w:ascii="Times New Roman" w:hAnsi="Times New Roman" w:cs="Times New Roman"/>
        </w:rPr>
        <w:t>sampling zooplankton</w:t>
      </w:r>
      <w:r>
        <w:rPr>
          <w:rFonts w:ascii="Times New Roman" w:hAnsi="Times New Roman" w:cs="Times New Roman"/>
        </w:rPr>
        <w:t>.  The vertical haul</w:t>
      </w:r>
      <w:r w:rsidRPr="006A6576">
        <w:rPr>
          <w:rFonts w:ascii="Times New Roman" w:hAnsi="Times New Roman" w:cs="Times New Roman"/>
        </w:rPr>
        <w:t xml:space="preserve"> involv</w:t>
      </w:r>
      <w:r>
        <w:rPr>
          <w:rFonts w:ascii="Times New Roman" w:hAnsi="Times New Roman" w:cs="Times New Roman"/>
        </w:rPr>
        <w:t>es</w:t>
      </w:r>
      <w:r w:rsidRPr="006A6576">
        <w:rPr>
          <w:rFonts w:ascii="Times New Roman" w:hAnsi="Times New Roman" w:cs="Times New Roman"/>
        </w:rPr>
        <w:t xml:space="preserve"> dropping the net to 2 m off the bottom of the lake </w:t>
      </w:r>
      <w:r w:rsidR="0054264A">
        <w:rPr>
          <w:rFonts w:ascii="Times New Roman" w:hAnsi="Times New Roman" w:cs="Times New Roman"/>
        </w:rPr>
        <w:t>and</w:t>
      </w:r>
      <w:r w:rsidRPr="006A6576">
        <w:rPr>
          <w:rFonts w:ascii="Times New Roman" w:hAnsi="Times New Roman" w:cs="Times New Roman"/>
        </w:rPr>
        <w:t xml:space="preserve"> pulling it vertically back to the boat.  The oblique tow involv</w:t>
      </w:r>
      <w:r>
        <w:rPr>
          <w:rFonts w:ascii="Times New Roman" w:hAnsi="Times New Roman" w:cs="Times New Roman"/>
        </w:rPr>
        <w:t>es</w:t>
      </w:r>
      <w:r w:rsidRPr="006A6576">
        <w:rPr>
          <w:rFonts w:ascii="Times New Roman" w:hAnsi="Times New Roman" w:cs="Times New Roman"/>
        </w:rPr>
        <w:t xml:space="preserve"> a drop to 2 m off the bottom, moving the boat a known distance horizontally, then pulling the net </w:t>
      </w:r>
      <w:r w:rsidR="003F4733" w:rsidRPr="0054264A">
        <w:rPr>
          <w:rFonts w:ascii="Times New Roman" w:hAnsi="Times New Roman" w:cs="Times New Roman"/>
          <w:noProof/>
        </w:rPr>
        <mc:AlternateContent>
          <mc:Choice Requires="wps">
            <w:drawing>
              <wp:anchor distT="45720" distB="45720" distL="114300" distR="114300" simplePos="0" relativeHeight="251673088" behindDoc="1" locked="0" layoutInCell="1" allowOverlap="1" wp14:anchorId="5CFCECB2" wp14:editId="250B0CC7">
                <wp:simplePos x="0" y="0"/>
                <wp:positionH relativeFrom="column">
                  <wp:posOffset>-186690</wp:posOffset>
                </wp:positionH>
                <wp:positionV relativeFrom="paragraph">
                  <wp:posOffset>2269490</wp:posOffset>
                </wp:positionV>
                <wp:extent cx="2979420" cy="3345180"/>
                <wp:effectExtent l="0" t="0" r="11430" b="26670"/>
                <wp:wrapTight wrapText="bothSides">
                  <wp:wrapPolygon edited="0">
                    <wp:start x="0" y="0"/>
                    <wp:lineTo x="0" y="21649"/>
                    <wp:lineTo x="21545" y="21649"/>
                    <wp:lineTo x="2154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3345180"/>
                        </a:xfrm>
                        <a:prstGeom prst="rect">
                          <a:avLst/>
                        </a:prstGeom>
                        <a:solidFill>
                          <a:srgbClr val="FFFFFF"/>
                        </a:solidFill>
                        <a:ln w="9525">
                          <a:solidFill>
                            <a:srgbClr val="000000"/>
                          </a:solidFill>
                          <a:miter lim="800000"/>
                          <a:headEnd/>
                          <a:tailEnd/>
                        </a:ln>
                      </wps:spPr>
                      <wps:txbx>
                        <w:txbxContent>
                          <w:p w14:paraId="53669B23" w14:textId="2AEDC3E5" w:rsidR="008478EF" w:rsidRDefault="008478EF">
                            <w:r w:rsidRPr="006A6576">
                              <w:rPr>
                                <w:noProof/>
                              </w:rPr>
                              <w:drawing>
                                <wp:inline distT="0" distB="0" distL="0" distR="0" wp14:anchorId="4680B82E" wp14:editId="63DEFEB9">
                                  <wp:extent cx="2700170" cy="24236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1525" cy="2424863"/>
                                          </a:xfrm>
                                          <a:prstGeom prst="rect">
                                            <a:avLst/>
                                          </a:prstGeom>
                                          <a:noFill/>
                                          <a:ln>
                                            <a:noFill/>
                                          </a:ln>
                                        </pic:spPr>
                                      </pic:pic>
                                    </a:graphicData>
                                  </a:graphic>
                                </wp:inline>
                              </w:drawing>
                            </w:r>
                            <w:r w:rsidRPr="0054264A">
                              <w:t xml:space="preserve"> </w:t>
                            </w:r>
                          </w:p>
                          <w:p w14:paraId="29C696F9" w14:textId="43A32755" w:rsidR="000A773D" w:rsidRPr="003F4733" w:rsidRDefault="000A773D">
                            <w:pPr>
                              <w:rPr>
                                <w:sz w:val="22"/>
                              </w:rPr>
                            </w:pPr>
                            <w:r w:rsidRPr="003F4733">
                              <w:rPr>
                                <w:sz w:val="22"/>
                              </w:rPr>
                              <w:t xml:space="preserve">Fig. 3. Comparison of oblique tows (circles) and vertical tows (triangles). Frequency of SWF occurrence in nets tows as a function </w:t>
                            </w:r>
                            <w:r w:rsidR="007F190E" w:rsidRPr="003F4733">
                              <w:rPr>
                                <w:sz w:val="22"/>
                              </w:rPr>
                              <w:t>of density in Lake Mendota. Note that these are relatively low densities.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4.7pt;margin-top:178.7pt;width:234.6pt;height:263.4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">
                <v:textbox>
                  <w:txbxContent>
                    <w:p w14:paraId="53669B23" w14:textId="2AEDC3E5" w:rsidR="008478EF" w:rsidRDefault="008478EF">
                      <w:r w:rsidRPr="006A6576">
                        <w:rPr>
                          <w:noProof/>
                        </w:rPr>
                        <w:drawing>
                          <wp:inline distT="0" distB="0" distL="0" distR="0" wp14:anchorId="4680B82E" wp14:editId="63DEFEB9">
                            <wp:extent cx="2700170" cy="24236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1525" cy="2424863"/>
                                    </a:xfrm>
                                    <a:prstGeom prst="rect">
                                      <a:avLst/>
                                    </a:prstGeom>
                                    <a:noFill/>
                                    <a:ln>
                                      <a:noFill/>
                                    </a:ln>
                                  </pic:spPr>
                                </pic:pic>
                              </a:graphicData>
                            </a:graphic>
                          </wp:inline>
                        </w:drawing>
                      </w:r>
                      <w:r w:rsidRPr="0054264A">
                        <w:t xml:space="preserve"> </w:t>
                      </w:r>
                    </w:p>
                    <w:p w14:paraId="29C696F9" w14:textId="43A32755" w:rsidR="000A773D" w:rsidRPr="003F4733" w:rsidRDefault="000A773D">
                      <w:pPr>
                        <w:rPr>
                          <w:sz w:val="22"/>
                        </w:rPr>
                      </w:pPr>
                      <w:r w:rsidRPr="003F4733">
                        <w:rPr>
                          <w:sz w:val="22"/>
                        </w:rPr>
                        <w:t xml:space="preserve">Fig. 3. Comparison of oblique tows (circles) and vertical tows (triangles). Frequency of SWF occurrence in nets tows as a function </w:t>
                      </w:r>
                      <w:r w:rsidR="007F190E" w:rsidRPr="003F4733">
                        <w:rPr>
                          <w:sz w:val="22"/>
                        </w:rPr>
                        <w:t>of density in Lake Mendota. Note that these are relatively low densities.</w:t>
                      </w:r>
                    </w:p>
                  </w:txbxContent>
                </v:textbox>
                <w10:wrap type="tight"/>
              </v:shape>
            </w:pict>
          </mc:Fallback>
        </mc:AlternateContent>
      </w:r>
      <w:r w:rsidRPr="006A6576">
        <w:rPr>
          <w:rFonts w:ascii="Times New Roman" w:hAnsi="Times New Roman" w:cs="Times New Roman"/>
        </w:rPr>
        <w:t>back to the boat.  The vertical haul is the most accurate to determine the density of</w:t>
      </w:r>
      <w:r w:rsidR="000A773D">
        <w:rPr>
          <w:rFonts w:ascii="Times New Roman" w:hAnsi="Times New Roman" w:cs="Times New Roman"/>
        </w:rPr>
        <w:t xml:space="preserve"> the spiny water flea</w:t>
      </w:r>
      <w:r w:rsidRPr="006A6576">
        <w:rPr>
          <w:rFonts w:ascii="Times New Roman" w:hAnsi="Times New Roman" w:cs="Times New Roman"/>
        </w:rPr>
        <w:t xml:space="preserve">.  The vertical haul is also the easiest to process in lab.  </w:t>
      </w:r>
      <w:r>
        <w:rPr>
          <w:rFonts w:ascii="Times New Roman" w:hAnsi="Times New Roman" w:cs="Times New Roman"/>
        </w:rPr>
        <w:t>T</w:t>
      </w:r>
      <w:r w:rsidRPr="006A6576">
        <w:rPr>
          <w:rFonts w:ascii="Times New Roman" w:hAnsi="Times New Roman" w:cs="Times New Roman"/>
        </w:rPr>
        <w:t xml:space="preserve">he oblique tow filters a larger amount of water, increasing the probability of detecting spiny water flea.  </w:t>
      </w:r>
      <w:r>
        <w:rPr>
          <w:rFonts w:ascii="Times New Roman" w:hAnsi="Times New Roman" w:cs="Times New Roman"/>
        </w:rPr>
        <w:t>I</w:t>
      </w:r>
      <w:r w:rsidRPr="006A6576">
        <w:rPr>
          <w:rFonts w:ascii="Times New Roman" w:hAnsi="Times New Roman" w:cs="Times New Roman"/>
        </w:rPr>
        <w:t>t is much more difficult to calculate the amount of water filtered and more difficult to process in lab</w:t>
      </w:r>
      <w:r>
        <w:rPr>
          <w:rFonts w:ascii="Times New Roman" w:hAnsi="Times New Roman" w:cs="Times New Roman"/>
        </w:rPr>
        <w:t>. We found that oblique tows</w:t>
      </w:r>
      <w:r w:rsidRPr="006A6576">
        <w:rPr>
          <w:rFonts w:ascii="Times New Roman" w:hAnsi="Times New Roman" w:cs="Times New Roman"/>
        </w:rPr>
        <w:t xml:space="preserve"> </w:t>
      </w:r>
      <w:r>
        <w:rPr>
          <w:rFonts w:ascii="Times New Roman" w:hAnsi="Times New Roman" w:cs="Times New Roman"/>
        </w:rPr>
        <w:t>detect SWF</w:t>
      </w:r>
      <w:r w:rsidRPr="006A6576">
        <w:rPr>
          <w:rFonts w:ascii="Times New Roman" w:hAnsi="Times New Roman" w:cs="Times New Roman"/>
        </w:rPr>
        <w:t xml:space="preserve"> at a </w:t>
      </w:r>
      <w:r>
        <w:rPr>
          <w:rFonts w:ascii="Times New Roman" w:hAnsi="Times New Roman" w:cs="Times New Roman"/>
        </w:rPr>
        <w:t>h</w:t>
      </w:r>
      <w:r w:rsidRPr="006A6576">
        <w:rPr>
          <w:rFonts w:ascii="Times New Roman" w:hAnsi="Times New Roman" w:cs="Times New Roman"/>
        </w:rPr>
        <w:t>igher rate at low densities o</w:t>
      </w:r>
      <w:r w:rsidR="000A773D">
        <w:rPr>
          <w:rFonts w:ascii="Times New Roman" w:hAnsi="Times New Roman" w:cs="Times New Roman"/>
        </w:rPr>
        <w:t>f the spiny water flea (Fig. 3</w:t>
      </w:r>
      <w:r w:rsidRPr="006A6576">
        <w:rPr>
          <w:rFonts w:ascii="Times New Roman" w:hAnsi="Times New Roman" w:cs="Times New Roman"/>
        </w:rPr>
        <w:t xml:space="preserve">).  </w:t>
      </w:r>
      <w:r>
        <w:rPr>
          <w:rFonts w:ascii="Times New Roman" w:hAnsi="Times New Roman" w:cs="Times New Roman"/>
        </w:rPr>
        <w:t xml:space="preserve">For </w:t>
      </w:r>
      <w:r w:rsidR="0054264A">
        <w:rPr>
          <w:rFonts w:ascii="Times New Roman" w:hAnsi="Times New Roman" w:cs="Times New Roman"/>
        </w:rPr>
        <w:t xml:space="preserve">simple </w:t>
      </w:r>
      <w:r>
        <w:rPr>
          <w:rFonts w:ascii="Times New Roman" w:hAnsi="Times New Roman" w:cs="Times New Roman"/>
        </w:rPr>
        <w:t>detection, we recommend oblique tows.</w:t>
      </w:r>
      <w:r w:rsidR="009E59E0">
        <w:rPr>
          <w:rFonts w:ascii="Times New Roman" w:hAnsi="Times New Roman" w:cs="Times New Roman"/>
        </w:rPr>
        <w:t xml:space="preserve"> Since spiny water flea is most abundant in late summer and fall of all our monitored lakes, we recommend targeted sampling from June through October.</w:t>
      </w:r>
    </w:p>
    <w:p w14:paraId="749364B6" w14:textId="77777777" w:rsidR="003F4733" w:rsidRDefault="003F4733" w:rsidP="002C18D3">
      <w:pPr>
        <w:spacing w:line="360" w:lineRule="auto"/>
        <w:rPr>
          <w:rFonts w:ascii="Times New Roman" w:hAnsi="Times New Roman" w:cs="Times New Roman"/>
        </w:rPr>
      </w:pPr>
    </w:p>
    <w:p w14:paraId="558BA123" w14:textId="77777777" w:rsidR="003F4733" w:rsidRDefault="003F4733" w:rsidP="002C18D3">
      <w:pPr>
        <w:spacing w:line="360" w:lineRule="auto"/>
        <w:rPr>
          <w:rFonts w:ascii="Times New Roman" w:hAnsi="Times New Roman" w:cs="Times New Roman"/>
        </w:rPr>
      </w:pPr>
    </w:p>
    <w:p w14:paraId="060946C5" w14:textId="70A1FBE0" w:rsidR="009E59E0" w:rsidRPr="006A6576" w:rsidRDefault="009E59E0" w:rsidP="002C18D3">
      <w:pPr>
        <w:spacing w:line="360" w:lineRule="auto"/>
        <w:rPr>
          <w:rFonts w:ascii="Times New Roman" w:hAnsi="Times New Roman" w:cs="Times New Roman"/>
        </w:rPr>
      </w:pPr>
    </w:p>
    <w:p w14:paraId="3D3416B5" w14:textId="00E5268D" w:rsidR="00C24E63" w:rsidRDefault="00C24E63" w:rsidP="002C18D3">
      <w:pPr>
        <w:spacing w:line="360" w:lineRule="auto"/>
        <w:rPr>
          <w:rFonts w:ascii="Times New Roman" w:hAnsi="Times New Roman" w:cs="Times New Roman"/>
        </w:rPr>
      </w:pPr>
    </w:p>
    <w:p w14:paraId="6A9B1363" w14:textId="0148BA3C" w:rsidR="0008085A" w:rsidRDefault="007F190E" w:rsidP="0008085A">
      <w:pPr>
        <w:spacing w:line="360" w:lineRule="auto"/>
      </w:pPr>
      <w:r w:rsidRPr="007F190E">
        <w:rPr>
          <w:rFonts w:ascii="Times New Roman" w:hAnsi="Times New Roman" w:cs="Times New Roman"/>
          <w:noProof/>
        </w:rPr>
        <w:lastRenderedPageBreak/>
        <mc:AlternateContent>
          <mc:Choice Requires="wps">
            <w:drawing>
              <wp:anchor distT="0" distB="0" distL="114300" distR="114300" simplePos="0" relativeHeight="251679232" behindDoc="1" locked="0" layoutInCell="1" allowOverlap="1" wp14:anchorId="4D39524B" wp14:editId="59A68741">
                <wp:simplePos x="0" y="0"/>
                <wp:positionH relativeFrom="column">
                  <wp:posOffset>-331470</wp:posOffset>
                </wp:positionH>
                <wp:positionV relativeFrom="paragraph">
                  <wp:posOffset>64135</wp:posOffset>
                </wp:positionV>
                <wp:extent cx="3194685" cy="4829810"/>
                <wp:effectExtent l="0" t="0" r="24765" b="27940"/>
                <wp:wrapTight wrapText="bothSides">
                  <wp:wrapPolygon edited="0">
                    <wp:start x="0" y="0"/>
                    <wp:lineTo x="0" y="21640"/>
                    <wp:lineTo x="21639" y="21640"/>
                    <wp:lineTo x="21639"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4829810"/>
                        </a:xfrm>
                        <a:prstGeom prst="rect">
                          <a:avLst/>
                        </a:prstGeom>
                        <a:solidFill>
                          <a:srgbClr val="FFFFFF"/>
                        </a:solidFill>
                        <a:ln w="9525">
                          <a:solidFill>
                            <a:srgbClr val="000000"/>
                          </a:solidFill>
                          <a:miter lim="800000"/>
                          <a:headEnd/>
                          <a:tailEnd/>
                        </a:ln>
                      </wps:spPr>
                      <wps:txbx>
                        <w:txbxContent>
                          <w:p w14:paraId="4D57175F" w14:textId="54B3887A" w:rsidR="007F190E" w:rsidRDefault="007F190E">
                            <w:r>
                              <w:rPr>
                                <w:rFonts w:ascii="Times New Roman" w:hAnsi="Times New Roman" w:cs="Times New Roman"/>
                                <w:noProof/>
                              </w:rPr>
                              <w:drawing>
                                <wp:inline distT="0" distB="0" distL="0" distR="0" wp14:anchorId="06878418" wp14:editId="2FB78AA9">
                                  <wp:extent cx="2764715" cy="27647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man_preliminary_summary.pdf"/>
                                          <pic:cNvPicPr/>
                                        </pic:nvPicPr>
                                        <pic:blipFill>
                                          <a:blip r:embed="rId15">
                                            <a:extLst>
                                              <a:ext uri="{28A0092B-C50C-407E-A947-70E740481C1C}">
                                                <a14:useLocalDpi xmlns:a14="http://schemas.microsoft.com/office/drawing/2010/main" val="0"/>
                                              </a:ext>
                                            </a:extLst>
                                          </a:blip>
                                          <a:stretch>
                                            <a:fillRect/>
                                          </a:stretch>
                                        </pic:blipFill>
                                        <pic:spPr>
                                          <a:xfrm>
                                            <a:off x="0" y="0"/>
                                            <a:ext cx="2764715" cy="2764715"/>
                                          </a:xfrm>
                                          <a:prstGeom prst="rect">
                                            <a:avLst/>
                                          </a:prstGeom>
                                        </pic:spPr>
                                      </pic:pic>
                                    </a:graphicData>
                                  </a:graphic>
                                </wp:inline>
                              </w:drawing>
                            </w:r>
                          </w:p>
                          <w:p w14:paraId="7C38B969" w14:textId="20B3FC47" w:rsidR="007F190E" w:rsidRPr="00587047" w:rsidRDefault="007F190E" w:rsidP="007F190E">
                            <w:pPr>
                              <w:rPr>
                                <w:rFonts w:ascii="Times New Roman" w:hAnsi="Times New Roman" w:cs="Times New Roman"/>
                              </w:rPr>
                            </w:pPr>
                            <w:r>
                              <w:rPr>
                                <w:rFonts w:ascii="Times New Roman" w:hAnsi="Times New Roman" w:cs="Times New Roman"/>
                              </w:rPr>
                              <w:t>Fig. 4. Summary of Ekman grabs among lakes. Points represent means plus or minus 1 s.d. ME = Lake Mendota, MO = Lake Monona, WA = Lake Waubesa, KE = Lake Kegonsa, WI = Lake Wingra (no confirmed population of spiny water flea). The abundance of spiny water flea evidence in the sediment appears to correlate with the number of spiny water flea in the water column.</w:t>
                            </w:r>
                          </w:p>
                          <w:p w14:paraId="051E7344" w14:textId="77777777" w:rsidR="007F190E" w:rsidRDefault="007F19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6.1pt;margin-top:5.05pt;width:251.55pt;height:380.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">
                <v:textbox>
                  <w:txbxContent>
                    <w:p w14:paraId="4D57175F" w14:textId="54B3887A" w:rsidR="007F190E" w:rsidRDefault="007F190E">
                      <w:r>
                        <w:rPr>
                          <w:rFonts w:ascii="Times New Roman" w:hAnsi="Times New Roman" w:cs="Times New Roman"/>
                          <w:noProof/>
                        </w:rPr>
                        <w:drawing>
                          <wp:inline distT="0" distB="0" distL="0" distR="0" wp14:anchorId="06878418" wp14:editId="2FB78AA9">
                            <wp:extent cx="2764715" cy="27647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man_preliminary_summary.pdf"/>
                                    <pic:cNvPicPr/>
                                  </pic:nvPicPr>
                                  <pic:blipFill>
                                    <a:blip r:embed="rId16">
                                      <a:extLst>
                                        <a:ext uri="{28A0092B-C50C-407E-A947-70E740481C1C}">
                                          <a14:useLocalDpi xmlns:a14="http://schemas.microsoft.com/office/drawing/2010/main" val="0"/>
                                        </a:ext>
                                      </a:extLst>
                                    </a:blip>
                                    <a:stretch>
                                      <a:fillRect/>
                                    </a:stretch>
                                  </pic:blipFill>
                                  <pic:spPr>
                                    <a:xfrm>
                                      <a:off x="0" y="0"/>
                                      <a:ext cx="2764715" cy="2764715"/>
                                    </a:xfrm>
                                    <a:prstGeom prst="rect">
                                      <a:avLst/>
                                    </a:prstGeom>
                                  </pic:spPr>
                                </pic:pic>
                              </a:graphicData>
                            </a:graphic>
                          </wp:inline>
                        </w:drawing>
                      </w:r>
                    </w:p>
                    <w:p w14:paraId="7C38B969" w14:textId="20B3FC47" w:rsidR="007F190E" w:rsidRPr="00587047" w:rsidRDefault="007F190E" w:rsidP="007F190E">
                      <w:pPr>
                        <w:rPr>
                          <w:rFonts w:ascii="Times New Roman" w:hAnsi="Times New Roman" w:cs="Times New Roman"/>
                        </w:rPr>
                      </w:pPr>
                      <w:r>
                        <w:rPr>
                          <w:rFonts w:ascii="Times New Roman" w:hAnsi="Times New Roman" w:cs="Times New Roman"/>
                        </w:rPr>
                        <w:t xml:space="preserve">Fig. 4. </w:t>
                      </w:r>
                      <w:r>
                        <w:rPr>
                          <w:rFonts w:ascii="Times New Roman" w:hAnsi="Times New Roman" w:cs="Times New Roman"/>
                        </w:rPr>
                        <w:t>Summary of Ekman grabs among lakes. Points represent means plus or minus 1 s.d. ME = Lake Mendota, MO = Lake Monona, WA = Lake Waubesa, KE = Lake Kegonsa, WI = Lake Wingra (no confirmed population of spiny water flea). The abundance of spiny water flea evidence in the sediment appears to correlate with the number of spiny water flea in the water column.</w:t>
                      </w:r>
                    </w:p>
                    <w:p w14:paraId="051E7344" w14:textId="77777777" w:rsidR="007F190E" w:rsidRDefault="007F190E"/>
                  </w:txbxContent>
                </v:textbox>
                <w10:wrap type="tight"/>
              </v:shape>
            </w:pict>
          </mc:Fallback>
        </mc:AlternateContent>
      </w:r>
      <w:r w:rsidR="00C24E63" w:rsidRPr="00C24E63">
        <w:rPr>
          <w:rFonts w:ascii="Times New Roman" w:hAnsi="Times New Roman" w:cs="Times New Roman"/>
        </w:rPr>
        <w:t>Due to the</w:t>
      </w:r>
      <w:r w:rsidR="0008085A">
        <w:rPr>
          <w:rFonts w:ascii="Times New Roman" w:hAnsi="Times New Roman" w:cs="Times New Roman"/>
        </w:rPr>
        <w:t>se sampling issues and the</w:t>
      </w:r>
      <w:r w:rsidR="00C24E63" w:rsidRPr="00C24E63">
        <w:rPr>
          <w:rFonts w:ascii="Times New Roman" w:hAnsi="Times New Roman" w:cs="Times New Roman"/>
        </w:rPr>
        <w:t xml:space="preserve"> seasonal </w:t>
      </w:r>
      <w:r w:rsidR="0054264A">
        <w:rPr>
          <w:rFonts w:ascii="Times New Roman" w:hAnsi="Times New Roman" w:cs="Times New Roman"/>
        </w:rPr>
        <w:t>cycles</w:t>
      </w:r>
      <w:r w:rsidR="00C24E63" w:rsidRPr="00C24E63">
        <w:rPr>
          <w:rFonts w:ascii="Times New Roman" w:hAnsi="Times New Roman" w:cs="Times New Roman"/>
        </w:rPr>
        <w:t xml:space="preserve">, our overall body of work highlights the limits of sampling in the water column, </w:t>
      </w:r>
      <w:r w:rsidR="0054264A">
        <w:rPr>
          <w:rFonts w:ascii="Times New Roman" w:hAnsi="Times New Roman" w:cs="Times New Roman"/>
        </w:rPr>
        <w:t>since</w:t>
      </w:r>
      <w:r w:rsidR="00C24E63" w:rsidRPr="00C24E63">
        <w:rPr>
          <w:rFonts w:ascii="Times New Roman" w:hAnsi="Times New Roman" w:cs="Times New Roman"/>
        </w:rPr>
        <w:t xml:space="preserve"> we commonly fail to find spiny water flea in lakes where they’re known to be present. </w:t>
      </w:r>
      <w:r w:rsidR="0054264A">
        <w:rPr>
          <w:rFonts w:ascii="Times New Roman" w:hAnsi="Times New Roman" w:cs="Times New Roman"/>
        </w:rPr>
        <w:t xml:space="preserve"> </w:t>
      </w:r>
      <w:r w:rsidR="00C24E63" w:rsidRPr="00C24E63">
        <w:rPr>
          <w:rFonts w:ascii="Times New Roman" w:hAnsi="Times New Roman" w:cs="Times New Roman"/>
        </w:rPr>
        <w:t xml:space="preserve">We </w:t>
      </w:r>
      <w:r w:rsidR="0008085A">
        <w:rPr>
          <w:rFonts w:ascii="Times New Roman" w:hAnsi="Times New Roman" w:cs="Times New Roman"/>
        </w:rPr>
        <w:t>have been developing</w:t>
      </w:r>
      <w:r w:rsidR="00C24E63" w:rsidRPr="00C24E63">
        <w:rPr>
          <w:rFonts w:ascii="Times New Roman" w:hAnsi="Times New Roman" w:cs="Times New Roman"/>
        </w:rPr>
        <w:t xml:space="preserve"> </w:t>
      </w:r>
      <w:r w:rsidR="0008085A">
        <w:rPr>
          <w:rFonts w:ascii="Times New Roman" w:hAnsi="Times New Roman" w:cs="Times New Roman"/>
        </w:rPr>
        <w:t>and testing</w:t>
      </w:r>
      <w:r w:rsidR="0054264A">
        <w:rPr>
          <w:rFonts w:ascii="Times New Roman" w:hAnsi="Times New Roman" w:cs="Times New Roman"/>
        </w:rPr>
        <w:t xml:space="preserve"> </w:t>
      </w:r>
      <w:r w:rsidR="00C24E63" w:rsidRPr="00C24E63">
        <w:rPr>
          <w:rFonts w:ascii="Times New Roman" w:hAnsi="Times New Roman" w:cs="Times New Roman"/>
        </w:rPr>
        <w:t>methods for detecting spines and resting eggs in lake sediments</w:t>
      </w:r>
      <w:r w:rsidR="0008085A">
        <w:rPr>
          <w:rFonts w:ascii="Times New Roman" w:hAnsi="Times New Roman" w:cs="Times New Roman"/>
        </w:rPr>
        <w:t xml:space="preserve">. Research carried out in 2015 </w:t>
      </w:r>
      <w:r w:rsidR="0008085A">
        <w:t>evaluated 12 Wisconsin lakes, 5 from the Madison area and 7 from around the Trout Lake research station area, to span a range of population densities and dates of introduction.  We used 3 different methods to sample all of the lakes, and a fourth just on Mendota.  On all lakes, we have used an oblique plankton tow to sample the water column, as well as used an Ekman grab to sample both the top sediment layer and a larger, deeper portion of sediment</w:t>
      </w:r>
      <w:r>
        <w:t xml:space="preserve"> (Fig. 4)</w:t>
      </w:r>
      <w:r w:rsidR="00587047">
        <w:t>. We also</w:t>
      </w:r>
      <w:r w:rsidR="0008085A">
        <w:t xml:space="preserve"> collected water samples for eDNA analysis.  Additionally, on Lake Mendota, we have taken se</w:t>
      </w:r>
      <w:r>
        <w:t>diment cores to get a</w:t>
      </w:r>
      <w:r w:rsidR="0008085A">
        <w:t xml:space="preserve"> picture of the timeline over which the SWF has been introduced, looking for spines of both the SWF and other species whose populations may fluctuate in response to the presence or absence of the SWF.  </w:t>
      </w:r>
    </w:p>
    <w:p w14:paraId="3FE84976" w14:textId="529C5C9D" w:rsidR="007F190E" w:rsidRDefault="007F190E" w:rsidP="007F190E">
      <w:pPr>
        <w:spacing w:line="360" w:lineRule="auto"/>
        <w:rPr>
          <w:rFonts w:ascii="Times New Roman" w:hAnsi="Times New Roman" w:cs="Times New Roman"/>
        </w:rPr>
      </w:pPr>
    </w:p>
    <w:p w14:paraId="5A43ABA2" w14:textId="6C9250A3" w:rsidR="0008085A" w:rsidRDefault="00587047" w:rsidP="007F190E">
      <w:pPr>
        <w:spacing w:line="360" w:lineRule="auto"/>
      </w:pPr>
      <w:r w:rsidRPr="00C24E63">
        <w:rPr>
          <w:rFonts w:ascii="Times New Roman" w:hAnsi="Times New Roman" w:cs="Times New Roman"/>
        </w:rPr>
        <w:t xml:space="preserve">We are </w:t>
      </w:r>
      <w:r>
        <w:rPr>
          <w:rFonts w:ascii="Times New Roman" w:hAnsi="Times New Roman" w:cs="Times New Roman"/>
        </w:rPr>
        <w:t>currently</w:t>
      </w:r>
      <w:r w:rsidRPr="00C24E63">
        <w:rPr>
          <w:rFonts w:ascii="Times New Roman" w:hAnsi="Times New Roman" w:cs="Times New Roman"/>
        </w:rPr>
        <w:t xml:space="preserve"> developing a relationship between the mean density of adult spiny water flea in the water column and the number of tail spines or resting eggs in the sediment of invaded lakes. This will provide a means for estimating mean water column abundance from sediment samples.</w:t>
      </w:r>
      <w:r>
        <w:rPr>
          <w:rFonts w:ascii="Times New Roman" w:hAnsi="Times New Roman" w:cs="Times New Roman"/>
        </w:rPr>
        <w:t xml:space="preserve"> While the work is still underway, </w:t>
      </w:r>
      <w:r w:rsidR="0008085A">
        <w:t xml:space="preserve">Ekman grabs </w:t>
      </w:r>
      <w:r>
        <w:t xml:space="preserve">may </w:t>
      </w:r>
      <w:r w:rsidR="0008085A">
        <w:t xml:space="preserve">give accurate measurements of population size and a reasonable measure of how long </w:t>
      </w:r>
      <w:r w:rsidR="0008085A">
        <w:lastRenderedPageBreak/>
        <w:t xml:space="preserve">the species has been in the body of water.  By comparing the </w:t>
      </w:r>
      <w:r w:rsidR="007F190E">
        <w:t>top sediment layer in the grab</w:t>
      </w:r>
      <w:r w:rsidR="0008085A">
        <w:t xml:space="preserve"> to the whole sample</w:t>
      </w:r>
      <w:r w:rsidR="007F190E">
        <w:t>,</w:t>
      </w:r>
      <w:r w:rsidR="0008085A">
        <w:t xml:space="preserve"> which can go back up to 15 years, we are able to </w:t>
      </w:r>
      <w:r>
        <w:t>evaluate</w:t>
      </w:r>
      <w:r w:rsidR="0008085A">
        <w:t xml:space="preserve"> recent population size relative to </w:t>
      </w:r>
      <w:r>
        <w:t>earlier years</w:t>
      </w:r>
      <w:r w:rsidR="0008085A">
        <w:t xml:space="preserve">. Sediment cores appear to provide a highly accurate estimate, but it can be quite difficult to collect, and dating the cores is an expensive procedure.  </w:t>
      </w:r>
    </w:p>
    <w:p w14:paraId="7E1B66A4" w14:textId="461C04B6" w:rsidR="00C24E63" w:rsidRDefault="00C24E63" w:rsidP="002C18D3">
      <w:pPr>
        <w:spacing w:line="360" w:lineRule="auto"/>
        <w:rPr>
          <w:rFonts w:ascii="Times New Roman" w:hAnsi="Times New Roman" w:cs="Times New Roman"/>
        </w:rPr>
      </w:pPr>
    </w:p>
    <w:p w14:paraId="36B6CF04" w14:textId="3E167374" w:rsidR="0054264A" w:rsidRDefault="00F66122" w:rsidP="002C18D3">
      <w:pPr>
        <w:spacing w:line="360" w:lineRule="auto"/>
        <w:rPr>
          <w:rFonts w:ascii="Times New Roman" w:hAnsi="Times New Roman" w:cs="Times New Roman"/>
        </w:rPr>
      </w:pPr>
      <w:r w:rsidRPr="006A6576">
        <w:rPr>
          <w:rFonts w:ascii="Times New Roman" w:hAnsi="Times New Roman" w:cs="Times New Roman"/>
          <w:i/>
        </w:rPr>
        <w:t xml:space="preserve">Identification of Transport Vectors </w:t>
      </w:r>
      <w:r w:rsidRPr="006A6576">
        <w:rPr>
          <w:rFonts w:ascii="Times New Roman" w:hAnsi="Times New Roman" w:cs="Times New Roman"/>
        </w:rPr>
        <w:t xml:space="preserve">– </w:t>
      </w:r>
      <w:r w:rsidR="0054264A">
        <w:rPr>
          <w:rFonts w:ascii="Times New Roman" w:hAnsi="Times New Roman" w:cs="Times New Roman"/>
        </w:rPr>
        <w:t>An additional objective was to d</w:t>
      </w:r>
      <w:r w:rsidRPr="006A6576">
        <w:rPr>
          <w:rFonts w:ascii="Times New Roman" w:hAnsi="Times New Roman" w:cs="Times New Roman"/>
        </w:rPr>
        <w:t xml:space="preserve">etermine primary vectors of transportation </w:t>
      </w:r>
      <w:r w:rsidR="0054264A">
        <w:rPr>
          <w:rFonts w:ascii="Times New Roman" w:hAnsi="Times New Roman" w:cs="Times New Roman"/>
        </w:rPr>
        <w:t>among</w:t>
      </w:r>
      <w:r w:rsidRPr="006A6576">
        <w:rPr>
          <w:rFonts w:ascii="Times New Roman" w:hAnsi="Times New Roman" w:cs="Times New Roman"/>
        </w:rPr>
        <w:t xml:space="preserve"> the invaded lakes of WI</w:t>
      </w:r>
      <w:r w:rsidR="0054264A">
        <w:rPr>
          <w:rFonts w:ascii="Times New Roman" w:hAnsi="Times New Roman" w:cs="Times New Roman"/>
        </w:rPr>
        <w:t>.</w:t>
      </w:r>
      <w:r w:rsidRPr="006A6576">
        <w:rPr>
          <w:rFonts w:ascii="Times New Roman" w:hAnsi="Times New Roman" w:cs="Times New Roman"/>
        </w:rPr>
        <w:t xml:space="preserve"> </w:t>
      </w:r>
      <w:r w:rsidR="0054264A">
        <w:rPr>
          <w:rFonts w:ascii="Times New Roman" w:hAnsi="Times New Roman" w:cs="Times New Roman"/>
        </w:rPr>
        <w:t>S</w:t>
      </w:r>
      <w:r w:rsidR="00526402" w:rsidRPr="006A6576">
        <w:rPr>
          <w:rFonts w:ascii="Times New Roman" w:hAnsi="Times New Roman" w:cs="Times New Roman"/>
        </w:rPr>
        <w:t>piny water flea is spread among inland lakes by r</w:t>
      </w:r>
      <w:r w:rsidR="00933F29" w:rsidRPr="006A6576">
        <w:rPr>
          <w:rFonts w:ascii="Times New Roman" w:hAnsi="Times New Roman" w:cs="Times New Roman"/>
        </w:rPr>
        <w:t xml:space="preserve">ecreational boaters. </w:t>
      </w:r>
      <w:r w:rsidR="0054264A" w:rsidRPr="006A6576">
        <w:rPr>
          <w:rFonts w:ascii="Times New Roman" w:hAnsi="Times New Roman" w:cs="Times New Roman"/>
        </w:rPr>
        <w:t>By determining where on a boat we are most likely to transport spiny water flea, we can instruct boaters in how to effectively clean their boats when leaving a spiny water flea invaded lake.</w:t>
      </w:r>
    </w:p>
    <w:p w14:paraId="47A2885F" w14:textId="77777777" w:rsidR="0054264A" w:rsidRDefault="0054264A" w:rsidP="002C18D3">
      <w:pPr>
        <w:spacing w:line="360" w:lineRule="auto"/>
        <w:rPr>
          <w:rFonts w:ascii="Times New Roman" w:hAnsi="Times New Roman" w:cs="Times New Roman"/>
        </w:rPr>
      </w:pPr>
    </w:p>
    <w:p w14:paraId="436B01AC" w14:textId="02E08261" w:rsidR="0054264A" w:rsidRDefault="0093157E" w:rsidP="002C18D3">
      <w:pPr>
        <w:spacing w:line="360" w:lineRule="auto"/>
      </w:pPr>
      <w:r w:rsidRPr="006A6576">
        <w:rPr>
          <w:rFonts w:ascii="Times New Roman" w:hAnsi="Times New Roman" w:cs="Times New Roman"/>
        </w:rPr>
        <w:t xml:space="preserve">We </w:t>
      </w:r>
      <w:r w:rsidR="0054264A">
        <w:rPr>
          <w:rFonts w:ascii="Times New Roman" w:hAnsi="Times New Roman" w:cs="Times New Roman"/>
        </w:rPr>
        <w:t xml:space="preserve">conducted a study that </w:t>
      </w:r>
      <w:r w:rsidR="00587047">
        <w:rPr>
          <w:rFonts w:ascii="Times New Roman" w:hAnsi="Times New Roman" w:cs="Times New Roman"/>
        </w:rPr>
        <w:t>searched</w:t>
      </w:r>
      <w:r w:rsidR="00091D3A" w:rsidRPr="006A6576">
        <w:rPr>
          <w:rFonts w:ascii="Times New Roman" w:hAnsi="Times New Roman" w:cs="Times New Roman"/>
        </w:rPr>
        <w:t xml:space="preserve"> </w:t>
      </w:r>
      <w:r w:rsidRPr="006A6576">
        <w:rPr>
          <w:rFonts w:ascii="Times New Roman" w:hAnsi="Times New Roman" w:cs="Times New Roman"/>
        </w:rPr>
        <w:t>boats leaving invaded</w:t>
      </w:r>
      <w:r w:rsidR="00933F29" w:rsidRPr="006A6576">
        <w:rPr>
          <w:rFonts w:ascii="Times New Roman" w:hAnsi="Times New Roman" w:cs="Times New Roman"/>
        </w:rPr>
        <w:t xml:space="preserve"> and highly trafficked</w:t>
      </w:r>
      <w:r w:rsidR="009E7590" w:rsidRPr="006A6576">
        <w:rPr>
          <w:rFonts w:ascii="Times New Roman" w:hAnsi="Times New Roman" w:cs="Times New Roman"/>
        </w:rPr>
        <w:t xml:space="preserve"> Lake</w:t>
      </w:r>
      <w:r w:rsidRPr="006A6576">
        <w:rPr>
          <w:rFonts w:ascii="Times New Roman" w:hAnsi="Times New Roman" w:cs="Times New Roman"/>
        </w:rPr>
        <w:t xml:space="preserve"> Mendota for spiny water flea adults and resting eggs.  </w:t>
      </w:r>
      <w:r w:rsidR="00091D3A" w:rsidRPr="006A6576">
        <w:rPr>
          <w:rFonts w:ascii="Times New Roman" w:hAnsi="Times New Roman" w:cs="Times New Roman"/>
        </w:rPr>
        <w:t>W</w:t>
      </w:r>
      <w:r w:rsidRPr="006A6576">
        <w:rPr>
          <w:rFonts w:ascii="Times New Roman" w:hAnsi="Times New Roman" w:cs="Times New Roman"/>
        </w:rPr>
        <w:t xml:space="preserve">e </w:t>
      </w:r>
      <w:r w:rsidR="00DE05FE" w:rsidRPr="006A6576">
        <w:rPr>
          <w:rFonts w:ascii="Times New Roman" w:hAnsi="Times New Roman" w:cs="Times New Roman"/>
        </w:rPr>
        <w:t>sample</w:t>
      </w:r>
      <w:r w:rsidR="0054264A">
        <w:rPr>
          <w:rFonts w:ascii="Times New Roman" w:hAnsi="Times New Roman" w:cs="Times New Roman"/>
        </w:rPr>
        <w:t>d</w:t>
      </w:r>
      <w:r w:rsidR="00DE05FE" w:rsidRPr="006A6576">
        <w:rPr>
          <w:rFonts w:ascii="Times New Roman" w:hAnsi="Times New Roman" w:cs="Times New Roman"/>
        </w:rPr>
        <w:t xml:space="preserve"> live wells, engines, bait buckets and ballast tanks </w:t>
      </w:r>
      <w:r w:rsidRPr="006A6576">
        <w:rPr>
          <w:rFonts w:ascii="Times New Roman" w:hAnsi="Times New Roman" w:cs="Times New Roman"/>
        </w:rPr>
        <w:t>by draining and spray washing them through a filter to collect spiny water fleas that may have</w:t>
      </w:r>
      <w:r w:rsidR="0054264A">
        <w:rPr>
          <w:rFonts w:ascii="Times New Roman" w:hAnsi="Times New Roman" w:cs="Times New Roman"/>
        </w:rPr>
        <w:t xml:space="preserve"> been present on the boat.  We also</w:t>
      </w:r>
      <w:r w:rsidRPr="006A6576">
        <w:rPr>
          <w:rFonts w:ascii="Times New Roman" w:hAnsi="Times New Roman" w:cs="Times New Roman"/>
        </w:rPr>
        <w:t xml:space="preserve"> sample</w:t>
      </w:r>
      <w:r w:rsidR="0054264A">
        <w:rPr>
          <w:rFonts w:ascii="Times New Roman" w:hAnsi="Times New Roman" w:cs="Times New Roman"/>
        </w:rPr>
        <w:t>d</w:t>
      </w:r>
      <w:r w:rsidRPr="006A6576">
        <w:rPr>
          <w:rFonts w:ascii="Times New Roman" w:hAnsi="Times New Roman" w:cs="Times New Roman"/>
        </w:rPr>
        <w:t xml:space="preserve"> </w:t>
      </w:r>
      <w:r w:rsidR="0054264A">
        <w:rPr>
          <w:rFonts w:ascii="Times New Roman" w:hAnsi="Times New Roman" w:cs="Times New Roman"/>
        </w:rPr>
        <w:t xml:space="preserve">anchors and </w:t>
      </w:r>
      <w:r w:rsidR="00587047">
        <w:rPr>
          <w:rFonts w:ascii="Times New Roman" w:hAnsi="Times New Roman" w:cs="Times New Roman"/>
        </w:rPr>
        <w:t>anchor lines</w:t>
      </w:r>
      <w:r w:rsidR="007F190E">
        <w:rPr>
          <w:rFonts w:ascii="Times New Roman" w:hAnsi="Times New Roman" w:cs="Times New Roman"/>
        </w:rPr>
        <w:t xml:space="preserve"> (Table 2)</w:t>
      </w:r>
      <w:r w:rsidR="00587047">
        <w:rPr>
          <w:rFonts w:ascii="Times New Roman" w:hAnsi="Times New Roman" w:cs="Times New Roman"/>
        </w:rPr>
        <w:t xml:space="preserve">. </w:t>
      </w:r>
      <w:r w:rsidR="0054264A" w:rsidRPr="0054264A">
        <w:rPr>
          <w:rFonts w:ascii="Times New Roman" w:hAnsi="Times New Roman" w:cs="Times New Roman"/>
        </w:rPr>
        <w:t>Our e</w:t>
      </w:r>
      <w:r w:rsidR="0054264A">
        <w:rPr>
          <w:rFonts w:ascii="Times New Roman" w:hAnsi="Times New Roman" w:cs="Times New Roman"/>
        </w:rPr>
        <w:t xml:space="preserve">xperiment </w:t>
      </w:r>
      <w:r w:rsidR="0054264A" w:rsidRPr="0054264A">
        <w:rPr>
          <w:rFonts w:ascii="Times New Roman" w:hAnsi="Times New Roman" w:cs="Times New Roman"/>
        </w:rPr>
        <w:t>evaluating spiny water flea transport vectors on recreational watercraft revealed that</w:t>
      </w:r>
      <w:r w:rsidR="00A96771">
        <w:rPr>
          <w:rFonts w:ascii="Times New Roman" w:hAnsi="Times New Roman" w:cs="Times New Roman"/>
        </w:rPr>
        <w:t>, de</w:t>
      </w:r>
      <w:r w:rsidR="007F190E">
        <w:rPr>
          <w:rFonts w:ascii="Times New Roman" w:hAnsi="Times New Roman" w:cs="Times New Roman"/>
        </w:rPr>
        <w:t>s</w:t>
      </w:r>
      <w:r w:rsidR="00A96771">
        <w:rPr>
          <w:rFonts w:ascii="Times New Roman" w:hAnsi="Times New Roman" w:cs="Times New Roman"/>
        </w:rPr>
        <w:t>pite considerable effort,</w:t>
      </w:r>
      <w:r w:rsidR="0054264A" w:rsidRPr="0054264A">
        <w:rPr>
          <w:rFonts w:ascii="Times New Roman" w:hAnsi="Times New Roman" w:cs="Times New Roman"/>
        </w:rPr>
        <w:t xml:space="preserve"> they </w:t>
      </w:r>
      <w:r w:rsidR="0054264A">
        <w:rPr>
          <w:rFonts w:ascii="Times New Roman" w:hAnsi="Times New Roman" w:cs="Times New Roman"/>
        </w:rPr>
        <w:t xml:space="preserve">were </w:t>
      </w:r>
      <w:r w:rsidR="007F190E">
        <w:rPr>
          <w:rFonts w:ascii="Times New Roman" w:hAnsi="Times New Roman" w:cs="Times New Roman"/>
        </w:rPr>
        <w:t xml:space="preserve">exceptionally </w:t>
      </w:r>
      <w:r w:rsidR="0054264A">
        <w:rPr>
          <w:rFonts w:ascii="Times New Roman" w:hAnsi="Times New Roman" w:cs="Times New Roman"/>
        </w:rPr>
        <w:t>difficult</w:t>
      </w:r>
      <w:r w:rsidR="00A96771">
        <w:rPr>
          <w:rFonts w:ascii="Times New Roman" w:hAnsi="Times New Roman" w:cs="Times New Roman"/>
        </w:rPr>
        <w:t xml:space="preserve"> </w:t>
      </w:r>
      <w:r w:rsidR="0054264A">
        <w:rPr>
          <w:rFonts w:ascii="Times New Roman" w:hAnsi="Times New Roman" w:cs="Times New Roman"/>
        </w:rPr>
        <w:t xml:space="preserve">to find </w:t>
      </w:r>
      <w:r w:rsidR="00A96771">
        <w:rPr>
          <w:rFonts w:ascii="Times New Roman" w:hAnsi="Times New Roman" w:cs="Times New Roman"/>
        </w:rPr>
        <w:t xml:space="preserve">being transported </w:t>
      </w:r>
      <w:r w:rsidR="0054264A">
        <w:rPr>
          <w:rFonts w:ascii="Times New Roman" w:hAnsi="Times New Roman" w:cs="Times New Roman"/>
        </w:rPr>
        <w:t>on boats. This</w:t>
      </w:r>
      <w:r w:rsidR="0054264A" w:rsidRPr="0054264A">
        <w:rPr>
          <w:rFonts w:ascii="Times New Roman" w:hAnsi="Times New Roman" w:cs="Times New Roman"/>
        </w:rPr>
        <w:t xml:space="preserve"> le</w:t>
      </w:r>
      <w:r w:rsidR="0054264A">
        <w:rPr>
          <w:rFonts w:ascii="Times New Roman" w:hAnsi="Times New Roman" w:cs="Times New Roman"/>
        </w:rPr>
        <w:t>d</w:t>
      </w:r>
      <w:r w:rsidR="0054264A" w:rsidRPr="0054264A">
        <w:rPr>
          <w:rFonts w:ascii="Times New Roman" w:hAnsi="Times New Roman" w:cs="Times New Roman"/>
        </w:rPr>
        <w:t xml:space="preserve"> to us ultimately focus</w:t>
      </w:r>
      <w:r w:rsidR="00A96771">
        <w:rPr>
          <w:rFonts w:ascii="Times New Roman" w:hAnsi="Times New Roman" w:cs="Times New Roman"/>
        </w:rPr>
        <w:t>ing</w:t>
      </w:r>
      <w:r w:rsidR="007F190E">
        <w:rPr>
          <w:rFonts w:ascii="Times New Roman" w:hAnsi="Times New Roman" w:cs="Times New Roman"/>
        </w:rPr>
        <w:t xml:space="preserve"> more</w:t>
      </w:r>
      <w:r w:rsidR="0054264A" w:rsidRPr="0054264A">
        <w:rPr>
          <w:rFonts w:ascii="Times New Roman" w:hAnsi="Times New Roman" w:cs="Times New Roman"/>
        </w:rPr>
        <w:t xml:space="preserve"> on the role of </w:t>
      </w:r>
      <w:r w:rsidR="0054264A">
        <w:t>resting egg</w:t>
      </w:r>
      <w:r w:rsidR="00A96771">
        <w:t>s in sediment. In invaded lakes such as Mendota,</w:t>
      </w:r>
      <w:r w:rsidR="0054264A">
        <w:t xml:space="preserve"> </w:t>
      </w:r>
      <w:r w:rsidR="00A96771">
        <w:t xml:space="preserve">we found </w:t>
      </w:r>
      <w:r w:rsidR="0054264A">
        <w:t>resting egg</w:t>
      </w:r>
      <w:r w:rsidR="00A96771">
        <w:t>s at</w:t>
      </w:r>
      <w:r w:rsidR="0054264A">
        <w:t xml:space="preserve"> very high levels in the mud. </w:t>
      </w:r>
      <w:r w:rsidR="00A96771">
        <w:t>Our results strong suggest that m</w:t>
      </w:r>
      <w:r w:rsidR="0054264A">
        <w:t xml:space="preserve">ud on </w:t>
      </w:r>
      <w:r w:rsidR="00A96771">
        <w:t>anchors and anchor lines are</w:t>
      </w:r>
      <w:r w:rsidR="0054264A">
        <w:t xml:space="preserve"> </w:t>
      </w:r>
      <w:r w:rsidR="007F190E">
        <w:t>an important</w:t>
      </w:r>
      <w:r w:rsidR="0054264A">
        <w:t xml:space="preserve"> vector of spiny water flea transport among lakes.</w:t>
      </w:r>
    </w:p>
    <w:p w14:paraId="166216B4" w14:textId="77777777" w:rsidR="00CE6D63" w:rsidRDefault="00CE6D63" w:rsidP="002C18D3">
      <w:pPr>
        <w:spacing w:line="360" w:lineRule="auto"/>
        <w:rPr>
          <w:rFonts w:ascii="Times New Roman" w:hAnsi="Times New Roman" w:cs="Times New Roman"/>
        </w:rPr>
      </w:pPr>
    </w:p>
    <w:p w14:paraId="071F66A2" w14:textId="77777777" w:rsidR="007F190E" w:rsidRPr="0054264A" w:rsidRDefault="007F190E" w:rsidP="002C18D3">
      <w:pPr>
        <w:spacing w:line="360" w:lineRule="auto"/>
        <w:rPr>
          <w:rFonts w:ascii="Times New Roman" w:hAnsi="Times New Roman" w:cs="Times New Roman"/>
        </w:rPr>
      </w:pPr>
    </w:p>
    <w:tbl>
      <w:tblPr>
        <w:tblStyle w:val="TableGrid"/>
        <w:tblW w:w="7895" w:type="dxa"/>
        <w:tblLook w:val="04A0" w:firstRow="1" w:lastRow="0" w:firstColumn="1" w:lastColumn="0" w:noHBand="0" w:noVBand="1"/>
      </w:tblPr>
      <w:tblGrid>
        <w:gridCol w:w="3209"/>
        <w:gridCol w:w="1043"/>
        <w:gridCol w:w="883"/>
        <w:gridCol w:w="1270"/>
        <w:gridCol w:w="1490"/>
      </w:tblGrid>
      <w:tr w:rsidR="00860616" w14:paraId="3ADC49D8" w14:textId="77777777" w:rsidTr="00860616">
        <w:trPr>
          <w:trHeight w:val="382"/>
        </w:trPr>
        <w:tc>
          <w:tcPr>
            <w:tcW w:w="3209" w:type="dxa"/>
            <w:tcBorders>
              <w:left w:val="nil"/>
              <w:bottom w:val="double" w:sz="4" w:space="0" w:color="auto"/>
              <w:right w:val="nil"/>
            </w:tcBorders>
          </w:tcPr>
          <w:p w14:paraId="066A0CE6" w14:textId="77777777" w:rsidR="00CE6D63" w:rsidRDefault="00CE6D63" w:rsidP="002C18D3">
            <w:pPr>
              <w:spacing w:line="360" w:lineRule="auto"/>
              <w:rPr>
                <w:rFonts w:ascii="Times New Roman" w:hAnsi="Times New Roman" w:cs="Times New Roman"/>
              </w:rPr>
            </w:pPr>
          </w:p>
        </w:tc>
        <w:tc>
          <w:tcPr>
            <w:tcW w:w="1043" w:type="dxa"/>
            <w:tcBorders>
              <w:left w:val="nil"/>
              <w:bottom w:val="double" w:sz="4" w:space="0" w:color="auto"/>
              <w:right w:val="nil"/>
            </w:tcBorders>
            <w:vAlign w:val="bottom"/>
          </w:tcPr>
          <w:p w14:paraId="2D7D7DD1" w14:textId="0D369340" w:rsidR="00CE6D63" w:rsidRDefault="00CE6D63" w:rsidP="00860616">
            <w:pPr>
              <w:spacing w:line="360" w:lineRule="auto"/>
              <w:jc w:val="center"/>
              <w:rPr>
                <w:rFonts w:ascii="Times New Roman" w:hAnsi="Times New Roman" w:cs="Times New Roman"/>
              </w:rPr>
            </w:pPr>
            <w:r>
              <w:rPr>
                <w:rFonts w:ascii="Times New Roman" w:hAnsi="Times New Roman" w:cs="Times New Roman"/>
              </w:rPr>
              <w:t>Adults</w:t>
            </w:r>
          </w:p>
        </w:tc>
        <w:tc>
          <w:tcPr>
            <w:tcW w:w="883" w:type="dxa"/>
            <w:tcBorders>
              <w:left w:val="nil"/>
              <w:bottom w:val="double" w:sz="4" w:space="0" w:color="auto"/>
              <w:right w:val="nil"/>
            </w:tcBorders>
            <w:vAlign w:val="bottom"/>
          </w:tcPr>
          <w:p w14:paraId="42507F7C" w14:textId="01BBB840" w:rsidR="00CE6D63" w:rsidRDefault="00CE6D63" w:rsidP="00860616">
            <w:pPr>
              <w:spacing w:line="360" w:lineRule="auto"/>
              <w:jc w:val="center"/>
              <w:rPr>
                <w:rFonts w:ascii="Times New Roman" w:hAnsi="Times New Roman" w:cs="Times New Roman"/>
              </w:rPr>
            </w:pPr>
            <w:r>
              <w:rPr>
                <w:rFonts w:ascii="Times New Roman" w:hAnsi="Times New Roman" w:cs="Times New Roman"/>
              </w:rPr>
              <w:t>Eggs</w:t>
            </w:r>
          </w:p>
        </w:tc>
        <w:tc>
          <w:tcPr>
            <w:tcW w:w="1270" w:type="dxa"/>
            <w:tcBorders>
              <w:left w:val="nil"/>
              <w:bottom w:val="double" w:sz="4" w:space="0" w:color="auto"/>
              <w:right w:val="nil"/>
            </w:tcBorders>
            <w:vAlign w:val="bottom"/>
          </w:tcPr>
          <w:p w14:paraId="2537999B" w14:textId="199812FE" w:rsidR="00CE6D63" w:rsidRDefault="00CE6D63" w:rsidP="00860616">
            <w:pPr>
              <w:spacing w:line="360" w:lineRule="auto"/>
              <w:jc w:val="center"/>
              <w:rPr>
                <w:rFonts w:ascii="Times New Roman" w:hAnsi="Times New Roman" w:cs="Times New Roman"/>
              </w:rPr>
            </w:pPr>
            <w:r>
              <w:rPr>
                <w:rFonts w:ascii="Times New Roman" w:hAnsi="Times New Roman" w:cs="Times New Roman"/>
              </w:rPr>
              <w:t>Embryos</w:t>
            </w:r>
          </w:p>
        </w:tc>
        <w:tc>
          <w:tcPr>
            <w:tcW w:w="1490" w:type="dxa"/>
            <w:tcBorders>
              <w:left w:val="nil"/>
              <w:bottom w:val="double" w:sz="4" w:space="0" w:color="auto"/>
              <w:right w:val="nil"/>
            </w:tcBorders>
            <w:vAlign w:val="bottom"/>
          </w:tcPr>
          <w:p w14:paraId="610C95D0" w14:textId="7A1D6666" w:rsidR="00CE6D63" w:rsidRDefault="00CE6D63" w:rsidP="00860616">
            <w:pPr>
              <w:spacing w:line="360" w:lineRule="auto"/>
              <w:jc w:val="center"/>
              <w:rPr>
                <w:rFonts w:ascii="Times New Roman" w:hAnsi="Times New Roman" w:cs="Times New Roman"/>
              </w:rPr>
            </w:pPr>
            <w:r>
              <w:rPr>
                <w:rFonts w:ascii="Times New Roman" w:hAnsi="Times New Roman" w:cs="Times New Roman"/>
              </w:rPr>
              <w:t>Tail Spines</w:t>
            </w:r>
          </w:p>
        </w:tc>
      </w:tr>
      <w:tr w:rsidR="00860616" w14:paraId="29A6EB41" w14:textId="77777777" w:rsidTr="00860616">
        <w:trPr>
          <w:trHeight w:val="744"/>
        </w:trPr>
        <w:tc>
          <w:tcPr>
            <w:tcW w:w="3209" w:type="dxa"/>
            <w:tcBorders>
              <w:top w:val="double" w:sz="4" w:space="0" w:color="auto"/>
              <w:left w:val="nil"/>
              <w:bottom w:val="dotted" w:sz="4" w:space="0" w:color="auto"/>
              <w:right w:val="nil"/>
            </w:tcBorders>
            <w:vAlign w:val="bottom"/>
          </w:tcPr>
          <w:p w14:paraId="29EE96A8" w14:textId="53594EA8" w:rsidR="00860616" w:rsidRPr="00860616" w:rsidRDefault="00860616" w:rsidP="00860616">
            <w:pPr>
              <w:spacing w:line="360" w:lineRule="auto"/>
              <w:rPr>
                <w:rFonts w:ascii="Times New Roman" w:hAnsi="Times New Roman" w:cs="Times New Roman"/>
                <w:b/>
              </w:rPr>
            </w:pPr>
            <w:r>
              <w:rPr>
                <w:rFonts w:ascii="Times New Roman" w:hAnsi="Times New Roman" w:cs="Times New Roman"/>
                <w:b/>
              </w:rPr>
              <w:t xml:space="preserve">A) </w:t>
            </w:r>
            <w:r w:rsidRPr="00860616">
              <w:rPr>
                <w:rFonts w:ascii="Times New Roman" w:hAnsi="Times New Roman" w:cs="Times New Roman"/>
                <w:b/>
              </w:rPr>
              <w:t>In Lake Mendota:</w:t>
            </w:r>
          </w:p>
          <w:p w14:paraId="41167343" w14:textId="77777777" w:rsidR="00860616" w:rsidRDefault="00860616" w:rsidP="00860616">
            <w:pPr>
              <w:spacing w:line="360" w:lineRule="auto"/>
              <w:rPr>
                <w:rFonts w:ascii="Times New Roman" w:hAnsi="Times New Roman" w:cs="Times New Roman"/>
              </w:rPr>
            </w:pPr>
          </w:p>
          <w:p w14:paraId="3009B1EC" w14:textId="5F81AF7F" w:rsidR="00CE6D63" w:rsidRPr="00CE6D63" w:rsidRDefault="00CE6D63" w:rsidP="00860616">
            <w:pPr>
              <w:spacing w:line="360" w:lineRule="auto"/>
              <w:rPr>
                <w:rFonts w:ascii="Times New Roman" w:hAnsi="Times New Roman" w:cs="Times New Roman"/>
              </w:rPr>
            </w:pPr>
            <w:r>
              <w:rPr>
                <w:rFonts w:ascii="Times New Roman" w:hAnsi="Times New Roman" w:cs="Times New Roman"/>
              </w:rPr>
              <w:t>Water column (1.4 m</w:t>
            </w:r>
            <w:r>
              <w:rPr>
                <w:rFonts w:ascii="Times New Roman" w:hAnsi="Times New Roman" w:cs="Times New Roman"/>
                <w:vertAlign w:val="superscript"/>
              </w:rPr>
              <w:t>3</w:t>
            </w:r>
            <w:r>
              <w:rPr>
                <w:rFonts w:ascii="Times New Roman" w:hAnsi="Times New Roman" w:cs="Times New Roman"/>
              </w:rPr>
              <w:t xml:space="preserve"> water)</w:t>
            </w:r>
          </w:p>
        </w:tc>
        <w:tc>
          <w:tcPr>
            <w:tcW w:w="1043" w:type="dxa"/>
            <w:tcBorders>
              <w:top w:val="double" w:sz="4" w:space="0" w:color="auto"/>
              <w:left w:val="nil"/>
              <w:bottom w:val="dotted" w:sz="4" w:space="0" w:color="auto"/>
              <w:right w:val="nil"/>
            </w:tcBorders>
            <w:vAlign w:val="bottom"/>
          </w:tcPr>
          <w:p w14:paraId="7EFB6506" w14:textId="5A2A7DD3" w:rsidR="00CE6D63" w:rsidRDefault="00CE6D63" w:rsidP="00860616">
            <w:pPr>
              <w:spacing w:line="360" w:lineRule="auto"/>
              <w:jc w:val="center"/>
              <w:rPr>
                <w:rFonts w:ascii="Times New Roman" w:hAnsi="Times New Roman" w:cs="Times New Roman"/>
              </w:rPr>
            </w:pPr>
            <w:r>
              <w:rPr>
                <w:rFonts w:ascii="Times New Roman" w:hAnsi="Times New Roman" w:cs="Times New Roman"/>
              </w:rPr>
              <w:t>12.0</w:t>
            </w:r>
          </w:p>
        </w:tc>
        <w:tc>
          <w:tcPr>
            <w:tcW w:w="883" w:type="dxa"/>
            <w:tcBorders>
              <w:top w:val="double" w:sz="4" w:space="0" w:color="auto"/>
              <w:left w:val="nil"/>
              <w:bottom w:val="dotted" w:sz="4" w:space="0" w:color="auto"/>
              <w:right w:val="nil"/>
            </w:tcBorders>
            <w:vAlign w:val="bottom"/>
          </w:tcPr>
          <w:p w14:paraId="0D5FA386" w14:textId="2B29FF17" w:rsidR="00CE6D63" w:rsidRDefault="00CE6D63" w:rsidP="00860616">
            <w:pPr>
              <w:spacing w:line="360" w:lineRule="auto"/>
              <w:jc w:val="center"/>
              <w:rPr>
                <w:rFonts w:ascii="Times New Roman" w:hAnsi="Times New Roman" w:cs="Times New Roman"/>
              </w:rPr>
            </w:pPr>
            <w:r>
              <w:rPr>
                <w:rFonts w:ascii="Times New Roman" w:hAnsi="Times New Roman" w:cs="Times New Roman"/>
              </w:rPr>
              <w:t>2.3</w:t>
            </w:r>
          </w:p>
        </w:tc>
        <w:tc>
          <w:tcPr>
            <w:tcW w:w="1270" w:type="dxa"/>
            <w:tcBorders>
              <w:top w:val="double" w:sz="4" w:space="0" w:color="auto"/>
              <w:left w:val="nil"/>
              <w:bottom w:val="dotted" w:sz="4" w:space="0" w:color="auto"/>
              <w:right w:val="nil"/>
            </w:tcBorders>
            <w:vAlign w:val="bottom"/>
          </w:tcPr>
          <w:p w14:paraId="29110766" w14:textId="052BDD5E" w:rsidR="00CE6D63" w:rsidRDefault="00CE6D63" w:rsidP="00860616">
            <w:pPr>
              <w:spacing w:line="360" w:lineRule="auto"/>
              <w:jc w:val="center"/>
              <w:rPr>
                <w:rFonts w:ascii="Times New Roman" w:hAnsi="Times New Roman" w:cs="Times New Roman"/>
              </w:rPr>
            </w:pPr>
            <w:r>
              <w:rPr>
                <w:rFonts w:ascii="Times New Roman" w:hAnsi="Times New Roman" w:cs="Times New Roman"/>
              </w:rPr>
              <w:t>10.6</w:t>
            </w:r>
          </w:p>
        </w:tc>
        <w:tc>
          <w:tcPr>
            <w:tcW w:w="1490" w:type="dxa"/>
            <w:tcBorders>
              <w:top w:val="double" w:sz="4" w:space="0" w:color="auto"/>
              <w:left w:val="nil"/>
              <w:bottom w:val="dotted" w:sz="4" w:space="0" w:color="auto"/>
              <w:right w:val="nil"/>
            </w:tcBorders>
            <w:vAlign w:val="bottom"/>
          </w:tcPr>
          <w:p w14:paraId="0D55A4FB" w14:textId="7ED8019D" w:rsidR="00CE6D63" w:rsidRDefault="00CE6D63" w:rsidP="00860616">
            <w:pPr>
              <w:spacing w:line="360" w:lineRule="auto"/>
              <w:jc w:val="center"/>
              <w:rPr>
                <w:rFonts w:ascii="Times New Roman" w:hAnsi="Times New Roman" w:cs="Times New Roman"/>
              </w:rPr>
            </w:pPr>
            <w:r>
              <w:rPr>
                <w:rFonts w:ascii="Times New Roman" w:hAnsi="Times New Roman" w:cs="Times New Roman"/>
              </w:rPr>
              <w:t>5.0</w:t>
            </w:r>
          </w:p>
        </w:tc>
      </w:tr>
      <w:tr w:rsidR="00860616" w14:paraId="1DD7BA58" w14:textId="77777777" w:rsidTr="00860616">
        <w:trPr>
          <w:trHeight w:val="788"/>
        </w:trPr>
        <w:tc>
          <w:tcPr>
            <w:tcW w:w="3209" w:type="dxa"/>
            <w:tcBorders>
              <w:top w:val="dotted" w:sz="4" w:space="0" w:color="auto"/>
              <w:left w:val="nil"/>
              <w:bottom w:val="single" w:sz="4" w:space="0" w:color="auto"/>
              <w:right w:val="nil"/>
            </w:tcBorders>
            <w:vAlign w:val="bottom"/>
          </w:tcPr>
          <w:p w14:paraId="039BEDB1" w14:textId="6E11E9D7" w:rsidR="008478EF" w:rsidRPr="008478EF" w:rsidRDefault="00CE6D63" w:rsidP="00860616">
            <w:pPr>
              <w:spacing w:line="360" w:lineRule="auto"/>
              <w:rPr>
                <w:rFonts w:ascii="Times New Roman" w:hAnsi="Times New Roman" w:cs="Times New Roman"/>
              </w:rPr>
            </w:pPr>
            <w:r>
              <w:rPr>
                <w:rFonts w:ascii="Times New Roman" w:hAnsi="Times New Roman" w:cs="Times New Roman"/>
              </w:rPr>
              <w:t>Sediment</w:t>
            </w:r>
            <w:r w:rsidR="00860616">
              <w:rPr>
                <w:rFonts w:ascii="Times New Roman" w:hAnsi="Times New Roman" w:cs="Times New Roman"/>
              </w:rPr>
              <w:t xml:space="preserve"> </w:t>
            </w:r>
            <w:r w:rsidR="008478EF">
              <w:rPr>
                <w:rFonts w:ascii="Times New Roman" w:hAnsi="Times New Roman" w:cs="Times New Roman"/>
              </w:rPr>
              <w:t>(1 cm</w:t>
            </w:r>
            <w:r w:rsidR="008478EF">
              <w:rPr>
                <w:rFonts w:ascii="Times New Roman" w:hAnsi="Times New Roman" w:cs="Times New Roman"/>
                <w:vertAlign w:val="superscript"/>
              </w:rPr>
              <w:t>3</w:t>
            </w:r>
            <w:r w:rsidR="008478EF">
              <w:rPr>
                <w:rFonts w:ascii="Times New Roman" w:hAnsi="Times New Roman" w:cs="Times New Roman"/>
              </w:rPr>
              <w:t>)</w:t>
            </w:r>
          </w:p>
        </w:tc>
        <w:tc>
          <w:tcPr>
            <w:tcW w:w="1043" w:type="dxa"/>
            <w:tcBorders>
              <w:top w:val="dotted" w:sz="4" w:space="0" w:color="auto"/>
              <w:left w:val="nil"/>
              <w:bottom w:val="single" w:sz="4" w:space="0" w:color="auto"/>
              <w:right w:val="nil"/>
            </w:tcBorders>
            <w:vAlign w:val="bottom"/>
          </w:tcPr>
          <w:p w14:paraId="0FFA40F2" w14:textId="2E3E4ACE" w:rsidR="00CE6D63" w:rsidRDefault="008478EF" w:rsidP="00860616">
            <w:pPr>
              <w:spacing w:line="360" w:lineRule="auto"/>
              <w:jc w:val="center"/>
              <w:rPr>
                <w:rFonts w:ascii="Times New Roman" w:hAnsi="Times New Roman" w:cs="Times New Roman"/>
              </w:rPr>
            </w:pPr>
            <w:r>
              <w:rPr>
                <w:rFonts w:ascii="Times New Roman" w:hAnsi="Times New Roman" w:cs="Times New Roman"/>
              </w:rPr>
              <w:t>0</w:t>
            </w:r>
          </w:p>
        </w:tc>
        <w:tc>
          <w:tcPr>
            <w:tcW w:w="883" w:type="dxa"/>
            <w:tcBorders>
              <w:top w:val="dotted" w:sz="4" w:space="0" w:color="auto"/>
              <w:left w:val="nil"/>
              <w:bottom w:val="single" w:sz="4" w:space="0" w:color="auto"/>
              <w:right w:val="nil"/>
            </w:tcBorders>
            <w:vAlign w:val="bottom"/>
          </w:tcPr>
          <w:p w14:paraId="0E9A4CBF" w14:textId="4044C2DC" w:rsidR="00CE6D63" w:rsidRDefault="00860616" w:rsidP="00860616">
            <w:pPr>
              <w:spacing w:line="360" w:lineRule="auto"/>
              <w:jc w:val="center"/>
              <w:rPr>
                <w:rFonts w:ascii="Times New Roman" w:hAnsi="Times New Roman" w:cs="Times New Roman"/>
              </w:rPr>
            </w:pPr>
            <w:r>
              <w:rPr>
                <w:rFonts w:ascii="Times New Roman" w:hAnsi="Times New Roman" w:cs="Times New Roman"/>
              </w:rPr>
              <w:t>0.</w:t>
            </w:r>
            <w:r w:rsidR="008478EF">
              <w:rPr>
                <w:rFonts w:ascii="Times New Roman" w:hAnsi="Times New Roman" w:cs="Times New Roman"/>
              </w:rPr>
              <w:t>43</w:t>
            </w:r>
          </w:p>
        </w:tc>
        <w:tc>
          <w:tcPr>
            <w:tcW w:w="1270" w:type="dxa"/>
            <w:tcBorders>
              <w:top w:val="dotted" w:sz="4" w:space="0" w:color="auto"/>
              <w:left w:val="nil"/>
              <w:bottom w:val="single" w:sz="4" w:space="0" w:color="auto"/>
              <w:right w:val="nil"/>
            </w:tcBorders>
            <w:vAlign w:val="bottom"/>
          </w:tcPr>
          <w:p w14:paraId="507F0424" w14:textId="4311F7F7" w:rsidR="00CE6D63" w:rsidRDefault="008478EF" w:rsidP="00860616">
            <w:pPr>
              <w:spacing w:line="360" w:lineRule="auto"/>
              <w:jc w:val="center"/>
              <w:rPr>
                <w:rFonts w:ascii="Times New Roman" w:hAnsi="Times New Roman" w:cs="Times New Roman"/>
              </w:rPr>
            </w:pPr>
            <w:r>
              <w:rPr>
                <w:rFonts w:ascii="Times New Roman" w:hAnsi="Times New Roman" w:cs="Times New Roman"/>
              </w:rPr>
              <w:t>0</w:t>
            </w:r>
          </w:p>
        </w:tc>
        <w:tc>
          <w:tcPr>
            <w:tcW w:w="1490" w:type="dxa"/>
            <w:tcBorders>
              <w:top w:val="dotted" w:sz="4" w:space="0" w:color="auto"/>
              <w:left w:val="nil"/>
              <w:bottom w:val="single" w:sz="4" w:space="0" w:color="auto"/>
              <w:right w:val="nil"/>
            </w:tcBorders>
            <w:vAlign w:val="bottom"/>
          </w:tcPr>
          <w:p w14:paraId="33CEC13B" w14:textId="3D285F3D" w:rsidR="00CE6D63" w:rsidRDefault="008478EF" w:rsidP="00860616">
            <w:pPr>
              <w:spacing w:line="360" w:lineRule="auto"/>
              <w:jc w:val="center"/>
              <w:rPr>
                <w:rFonts w:ascii="Times New Roman" w:hAnsi="Times New Roman" w:cs="Times New Roman"/>
              </w:rPr>
            </w:pPr>
            <w:r>
              <w:rPr>
                <w:rFonts w:ascii="Times New Roman" w:hAnsi="Times New Roman" w:cs="Times New Roman"/>
              </w:rPr>
              <w:t>4</w:t>
            </w:r>
            <w:r w:rsidR="00860616">
              <w:rPr>
                <w:rFonts w:ascii="Times New Roman" w:hAnsi="Times New Roman" w:cs="Times New Roman"/>
              </w:rPr>
              <w:t>.</w:t>
            </w:r>
            <w:r>
              <w:rPr>
                <w:rFonts w:ascii="Times New Roman" w:hAnsi="Times New Roman" w:cs="Times New Roman"/>
              </w:rPr>
              <w:t>1</w:t>
            </w:r>
          </w:p>
        </w:tc>
      </w:tr>
      <w:tr w:rsidR="00860616" w14:paraId="7F99B432" w14:textId="77777777" w:rsidTr="00860616">
        <w:trPr>
          <w:trHeight w:val="765"/>
        </w:trPr>
        <w:tc>
          <w:tcPr>
            <w:tcW w:w="3209" w:type="dxa"/>
            <w:tcBorders>
              <w:top w:val="single" w:sz="4" w:space="0" w:color="auto"/>
              <w:left w:val="nil"/>
              <w:bottom w:val="dotted" w:sz="4" w:space="0" w:color="auto"/>
              <w:right w:val="nil"/>
            </w:tcBorders>
            <w:vAlign w:val="bottom"/>
          </w:tcPr>
          <w:p w14:paraId="242B6C4F" w14:textId="217B5071" w:rsidR="00860616" w:rsidRPr="00860616" w:rsidRDefault="00860616" w:rsidP="00860616">
            <w:pPr>
              <w:spacing w:line="360" w:lineRule="auto"/>
              <w:rPr>
                <w:rFonts w:ascii="Times New Roman" w:hAnsi="Times New Roman" w:cs="Times New Roman"/>
                <w:b/>
              </w:rPr>
            </w:pPr>
            <w:r>
              <w:rPr>
                <w:rFonts w:ascii="Times New Roman" w:hAnsi="Times New Roman" w:cs="Times New Roman"/>
                <w:b/>
              </w:rPr>
              <w:lastRenderedPageBreak/>
              <w:t>B) In simulated trip</w:t>
            </w:r>
          </w:p>
          <w:p w14:paraId="30E6CE0B" w14:textId="77777777" w:rsidR="00860616" w:rsidRDefault="00860616" w:rsidP="00860616">
            <w:pPr>
              <w:spacing w:line="360" w:lineRule="auto"/>
              <w:rPr>
                <w:rFonts w:ascii="Times New Roman" w:hAnsi="Times New Roman" w:cs="Times New Roman"/>
              </w:rPr>
            </w:pPr>
          </w:p>
          <w:p w14:paraId="78148780" w14:textId="576DE719" w:rsidR="00CE6D63" w:rsidRDefault="00CE6D63" w:rsidP="00860616">
            <w:pPr>
              <w:spacing w:line="360" w:lineRule="auto"/>
              <w:rPr>
                <w:rFonts w:ascii="Times New Roman" w:hAnsi="Times New Roman" w:cs="Times New Roman"/>
              </w:rPr>
            </w:pPr>
            <w:r>
              <w:rPr>
                <w:rFonts w:ascii="Times New Roman" w:hAnsi="Times New Roman" w:cs="Times New Roman"/>
              </w:rPr>
              <w:t>Anchor and anchor line</w:t>
            </w:r>
          </w:p>
        </w:tc>
        <w:tc>
          <w:tcPr>
            <w:tcW w:w="1043" w:type="dxa"/>
            <w:tcBorders>
              <w:top w:val="single" w:sz="4" w:space="0" w:color="auto"/>
              <w:left w:val="nil"/>
              <w:bottom w:val="dotted" w:sz="4" w:space="0" w:color="auto"/>
              <w:right w:val="nil"/>
            </w:tcBorders>
            <w:vAlign w:val="bottom"/>
          </w:tcPr>
          <w:p w14:paraId="469F28EB" w14:textId="3FC2D327" w:rsidR="00CE6D63" w:rsidRDefault="00CE6D63" w:rsidP="00860616">
            <w:pPr>
              <w:spacing w:line="360" w:lineRule="auto"/>
              <w:jc w:val="center"/>
              <w:rPr>
                <w:rFonts w:ascii="Times New Roman" w:hAnsi="Times New Roman" w:cs="Times New Roman"/>
              </w:rPr>
            </w:pPr>
            <w:r>
              <w:rPr>
                <w:rFonts w:ascii="Times New Roman" w:hAnsi="Times New Roman" w:cs="Times New Roman"/>
              </w:rPr>
              <w:t>0.33</w:t>
            </w:r>
          </w:p>
        </w:tc>
        <w:tc>
          <w:tcPr>
            <w:tcW w:w="883" w:type="dxa"/>
            <w:tcBorders>
              <w:top w:val="single" w:sz="4" w:space="0" w:color="auto"/>
              <w:left w:val="nil"/>
              <w:bottom w:val="dotted" w:sz="4" w:space="0" w:color="auto"/>
              <w:right w:val="nil"/>
            </w:tcBorders>
            <w:vAlign w:val="bottom"/>
          </w:tcPr>
          <w:p w14:paraId="62F19D1B" w14:textId="302B6765" w:rsidR="00CE6D63" w:rsidRDefault="00CE6D63" w:rsidP="00860616">
            <w:pPr>
              <w:spacing w:line="360" w:lineRule="auto"/>
              <w:jc w:val="center"/>
              <w:rPr>
                <w:rFonts w:ascii="Times New Roman" w:hAnsi="Times New Roman" w:cs="Times New Roman"/>
              </w:rPr>
            </w:pPr>
            <w:r>
              <w:rPr>
                <w:rFonts w:ascii="Times New Roman" w:hAnsi="Times New Roman" w:cs="Times New Roman"/>
              </w:rPr>
              <w:t>0</w:t>
            </w:r>
          </w:p>
        </w:tc>
        <w:tc>
          <w:tcPr>
            <w:tcW w:w="1270" w:type="dxa"/>
            <w:tcBorders>
              <w:top w:val="single" w:sz="4" w:space="0" w:color="auto"/>
              <w:left w:val="nil"/>
              <w:bottom w:val="dotted" w:sz="4" w:space="0" w:color="auto"/>
              <w:right w:val="nil"/>
            </w:tcBorders>
            <w:vAlign w:val="bottom"/>
          </w:tcPr>
          <w:p w14:paraId="6A24F790" w14:textId="0C2A5A92" w:rsidR="00CE6D63" w:rsidRDefault="00CE6D63" w:rsidP="00860616">
            <w:pPr>
              <w:spacing w:line="360" w:lineRule="auto"/>
              <w:jc w:val="center"/>
              <w:rPr>
                <w:rFonts w:ascii="Times New Roman" w:hAnsi="Times New Roman" w:cs="Times New Roman"/>
              </w:rPr>
            </w:pPr>
            <w:r>
              <w:rPr>
                <w:rFonts w:ascii="Times New Roman" w:hAnsi="Times New Roman" w:cs="Times New Roman"/>
              </w:rPr>
              <w:t>0.33</w:t>
            </w:r>
          </w:p>
        </w:tc>
        <w:tc>
          <w:tcPr>
            <w:tcW w:w="1490" w:type="dxa"/>
            <w:tcBorders>
              <w:top w:val="single" w:sz="4" w:space="0" w:color="auto"/>
              <w:left w:val="nil"/>
              <w:bottom w:val="dotted" w:sz="4" w:space="0" w:color="auto"/>
              <w:right w:val="nil"/>
            </w:tcBorders>
            <w:vAlign w:val="bottom"/>
          </w:tcPr>
          <w:p w14:paraId="273A3897" w14:textId="4FE15473" w:rsidR="00CE6D63" w:rsidRDefault="00CE6D63" w:rsidP="00860616">
            <w:pPr>
              <w:spacing w:line="360" w:lineRule="auto"/>
              <w:jc w:val="center"/>
              <w:rPr>
                <w:rFonts w:ascii="Times New Roman" w:hAnsi="Times New Roman" w:cs="Times New Roman"/>
              </w:rPr>
            </w:pPr>
            <w:r>
              <w:rPr>
                <w:rFonts w:ascii="Times New Roman" w:hAnsi="Times New Roman" w:cs="Times New Roman"/>
              </w:rPr>
              <w:t>2</w:t>
            </w:r>
          </w:p>
        </w:tc>
      </w:tr>
      <w:tr w:rsidR="00860616" w14:paraId="20B36811" w14:textId="77777777" w:rsidTr="00860616">
        <w:trPr>
          <w:trHeight w:val="765"/>
        </w:trPr>
        <w:tc>
          <w:tcPr>
            <w:tcW w:w="3209" w:type="dxa"/>
            <w:tcBorders>
              <w:top w:val="dotted" w:sz="4" w:space="0" w:color="auto"/>
              <w:left w:val="nil"/>
              <w:bottom w:val="dotted" w:sz="4" w:space="0" w:color="auto"/>
              <w:right w:val="nil"/>
            </w:tcBorders>
            <w:vAlign w:val="bottom"/>
          </w:tcPr>
          <w:p w14:paraId="46A2DCF9" w14:textId="2E478F3D" w:rsidR="00CE6D63" w:rsidRDefault="00CE6D63" w:rsidP="00860616">
            <w:pPr>
              <w:spacing w:line="360" w:lineRule="auto"/>
              <w:rPr>
                <w:rFonts w:ascii="Times New Roman" w:hAnsi="Times New Roman" w:cs="Times New Roman"/>
              </w:rPr>
            </w:pPr>
            <w:r>
              <w:rPr>
                <w:rFonts w:ascii="Times New Roman" w:hAnsi="Times New Roman" w:cs="Times New Roman"/>
              </w:rPr>
              <w:t>Live well simulation</w:t>
            </w:r>
          </w:p>
        </w:tc>
        <w:tc>
          <w:tcPr>
            <w:tcW w:w="1043" w:type="dxa"/>
            <w:tcBorders>
              <w:top w:val="dotted" w:sz="4" w:space="0" w:color="auto"/>
              <w:left w:val="nil"/>
              <w:bottom w:val="dotted" w:sz="4" w:space="0" w:color="auto"/>
              <w:right w:val="nil"/>
            </w:tcBorders>
            <w:vAlign w:val="bottom"/>
          </w:tcPr>
          <w:p w14:paraId="71040B34" w14:textId="1271AF93" w:rsidR="00CE6D63" w:rsidRDefault="00CE6D63" w:rsidP="00860616">
            <w:pPr>
              <w:spacing w:line="360" w:lineRule="auto"/>
              <w:jc w:val="center"/>
              <w:rPr>
                <w:rFonts w:ascii="Times New Roman" w:hAnsi="Times New Roman" w:cs="Times New Roman"/>
              </w:rPr>
            </w:pPr>
            <w:r>
              <w:rPr>
                <w:rFonts w:ascii="Times New Roman" w:hAnsi="Times New Roman" w:cs="Times New Roman"/>
              </w:rPr>
              <w:t>0.5</w:t>
            </w:r>
          </w:p>
        </w:tc>
        <w:tc>
          <w:tcPr>
            <w:tcW w:w="883" w:type="dxa"/>
            <w:tcBorders>
              <w:top w:val="dotted" w:sz="4" w:space="0" w:color="auto"/>
              <w:left w:val="nil"/>
              <w:bottom w:val="dotted" w:sz="4" w:space="0" w:color="auto"/>
              <w:right w:val="nil"/>
            </w:tcBorders>
            <w:vAlign w:val="bottom"/>
          </w:tcPr>
          <w:p w14:paraId="432EC66C" w14:textId="2E694E2E" w:rsidR="00CE6D63" w:rsidRDefault="00CE6D63" w:rsidP="00860616">
            <w:pPr>
              <w:spacing w:line="360" w:lineRule="auto"/>
              <w:jc w:val="center"/>
              <w:rPr>
                <w:rFonts w:ascii="Times New Roman" w:hAnsi="Times New Roman" w:cs="Times New Roman"/>
              </w:rPr>
            </w:pPr>
            <w:r>
              <w:rPr>
                <w:rFonts w:ascii="Times New Roman" w:hAnsi="Times New Roman" w:cs="Times New Roman"/>
              </w:rPr>
              <w:t>0</w:t>
            </w:r>
          </w:p>
        </w:tc>
        <w:tc>
          <w:tcPr>
            <w:tcW w:w="1270" w:type="dxa"/>
            <w:tcBorders>
              <w:top w:val="dotted" w:sz="4" w:space="0" w:color="auto"/>
              <w:left w:val="nil"/>
              <w:bottom w:val="dotted" w:sz="4" w:space="0" w:color="auto"/>
              <w:right w:val="nil"/>
            </w:tcBorders>
            <w:vAlign w:val="bottom"/>
          </w:tcPr>
          <w:p w14:paraId="747EF2E0" w14:textId="18E901E5" w:rsidR="00CE6D63" w:rsidRDefault="00CE6D63" w:rsidP="00860616">
            <w:pPr>
              <w:spacing w:line="360" w:lineRule="auto"/>
              <w:jc w:val="center"/>
              <w:rPr>
                <w:rFonts w:ascii="Times New Roman" w:hAnsi="Times New Roman" w:cs="Times New Roman"/>
              </w:rPr>
            </w:pPr>
            <w:r>
              <w:rPr>
                <w:rFonts w:ascii="Times New Roman" w:hAnsi="Times New Roman" w:cs="Times New Roman"/>
              </w:rPr>
              <w:t>0</w:t>
            </w:r>
          </w:p>
        </w:tc>
        <w:tc>
          <w:tcPr>
            <w:tcW w:w="1490" w:type="dxa"/>
            <w:tcBorders>
              <w:top w:val="dotted" w:sz="4" w:space="0" w:color="auto"/>
              <w:left w:val="nil"/>
              <w:bottom w:val="dotted" w:sz="4" w:space="0" w:color="auto"/>
              <w:right w:val="nil"/>
            </w:tcBorders>
            <w:vAlign w:val="bottom"/>
          </w:tcPr>
          <w:p w14:paraId="45386CD1" w14:textId="3DFA7719" w:rsidR="00CE6D63" w:rsidRDefault="00CE6D63" w:rsidP="00860616">
            <w:pPr>
              <w:spacing w:line="360" w:lineRule="auto"/>
              <w:jc w:val="center"/>
              <w:rPr>
                <w:rFonts w:ascii="Times New Roman" w:hAnsi="Times New Roman" w:cs="Times New Roman"/>
              </w:rPr>
            </w:pPr>
            <w:r>
              <w:rPr>
                <w:rFonts w:ascii="Times New Roman" w:hAnsi="Times New Roman" w:cs="Times New Roman"/>
              </w:rPr>
              <w:t>1</w:t>
            </w:r>
          </w:p>
        </w:tc>
      </w:tr>
      <w:tr w:rsidR="00860616" w14:paraId="26CE6B02" w14:textId="77777777" w:rsidTr="00860616">
        <w:trPr>
          <w:trHeight w:val="382"/>
        </w:trPr>
        <w:tc>
          <w:tcPr>
            <w:tcW w:w="3209" w:type="dxa"/>
            <w:tcBorders>
              <w:top w:val="dotted" w:sz="4" w:space="0" w:color="auto"/>
              <w:left w:val="nil"/>
              <w:bottom w:val="dotted" w:sz="4" w:space="0" w:color="auto"/>
              <w:right w:val="nil"/>
            </w:tcBorders>
            <w:vAlign w:val="bottom"/>
          </w:tcPr>
          <w:p w14:paraId="1DAC1B5C" w14:textId="0A4ED2E2" w:rsidR="00CE6D63" w:rsidRDefault="00CE6D63" w:rsidP="00860616">
            <w:pPr>
              <w:spacing w:line="360" w:lineRule="auto"/>
              <w:rPr>
                <w:rFonts w:ascii="Times New Roman" w:hAnsi="Times New Roman" w:cs="Times New Roman"/>
              </w:rPr>
            </w:pPr>
            <w:r>
              <w:rPr>
                <w:rFonts w:ascii="Times New Roman" w:hAnsi="Times New Roman" w:cs="Times New Roman"/>
              </w:rPr>
              <w:t>Motor</w:t>
            </w:r>
          </w:p>
        </w:tc>
        <w:tc>
          <w:tcPr>
            <w:tcW w:w="1043" w:type="dxa"/>
            <w:tcBorders>
              <w:top w:val="dotted" w:sz="4" w:space="0" w:color="auto"/>
              <w:left w:val="nil"/>
              <w:bottom w:val="dotted" w:sz="4" w:space="0" w:color="auto"/>
              <w:right w:val="nil"/>
            </w:tcBorders>
            <w:vAlign w:val="bottom"/>
          </w:tcPr>
          <w:p w14:paraId="6EA26153" w14:textId="4CB7C9CE" w:rsidR="00CE6D63" w:rsidRDefault="00CE6D63" w:rsidP="00860616">
            <w:pPr>
              <w:spacing w:line="360" w:lineRule="auto"/>
              <w:jc w:val="center"/>
              <w:rPr>
                <w:rFonts w:ascii="Times New Roman" w:hAnsi="Times New Roman" w:cs="Times New Roman"/>
              </w:rPr>
            </w:pPr>
            <w:r>
              <w:rPr>
                <w:rFonts w:ascii="Times New Roman" w:hAnsi="Times New Roman" w:cs="Times New Roman"/>
              </w:rPr>
              <w:t>0.33</w:t>
            </w:r>
          </w:p>
        </w:tc>
        <w:tc>
          <w:tcPr>
            <w:tcW w:w="883" w:type="dxa"/>
            <w:tcBorders>
              <w:top w:val="dotted" w:sz="4" w:space="0" w:color="auto"/>
              <w:left w:val="nil"/>
              <w:bottom w:val="dotted" w:sz="4" w:space="0" w:color="auto"/>
              <w:right w:val="nil"/>
            </w:tcBorders>
            <w:vAlign w:val="bottom"/>
          </w:tcPr>
          <w:p w14:paraId="667CA33D" w14:textId="41C5C7DE" w:rsidR="00CE6D63" w:rsidRDefault="00CE6D63" w:rsidP="00860616">
            <w:pPr>
              <w:spacing w:line="360" w:lineRule="auto"/>
              <w:jc w:val="center"/>
              <w:rPr>
                <w:rFonts w:ascii="Times New Roman" w:hAnsi="Times New Roman" w:cs="Times New Roman"/>
              </w:rPr>
            </w:pPr>
            <w:r>
              <w:rPr>
                <w:rFonts w:ascii="Times New Roman" w:hAnsi="Times New Roman" w:cs="Times New Roman"/>
              </w:rPr>
              <w:t>0</w:t>
            </w:r>
          </w:p>
        </w:tc>
        <w:tc>
          <w:tcPr>
            <w:tcW w:w="1270" w:type="dxa"/>
            <w:tcBorders>
              <w:top w:val="dotted" w:sz="4" w:space="0" w:color="auto"/>
              <w:left w:val="nil"/>
              <w:bottom w:val="dotted" w:sz="4" w:space="0" w:color="auto"/>
              <w:right w:val="nil"/>
            </w:tcBorders>
            <w:vAlign w:val="bottom"/>
          </w:tcPr>
          <w:p w14:paraId="568F3F30" w14:textId="5B9155EE" w:rsidR="00CE6D63" w:rsidRDefault="00CE6D63" w:rsidP="00860616">
            <w:pPr>
              <w:spacing w:line="360" w:lineRule="auto"/>
              <w:jc w:val="center"/>
              <w:rPr>
                <w:rFonts w:ascii="Times New Roman" w:hAnsi="Times New Roman" w:cs="Times New Roman"/>
              </w:rPr>
            </w:pPr>
            <w:r>
              <w:rPr>
                <w:rFonts w:ascii="Times New Roman" w:hAnsi="Times New Roman" w:cs="Times New Roman"/>
              </w:rPr>
              <w:t>0</w:t>
            </w:r>
          </w:p>
        </w:tc>
        <w:tc>
          <w:tcPr>
            <w:tcW w:w="1490" w:type="dxa"/>
            <w:tcBorders>
              <w:top w:val="dotted" w:sz="4" w:space="0" w:color="auto"/>
              <w:left w:val="nil"/>
              <w:bottom w:val="dotted" w:sz="4" w:space="0" w:color="auto"/>
              <w:right w:val="nil"/>
            </w:tcBorders>
            <w:vAlign w:val="bottom"/>
          </w:tcPr>
          <w:p w14:paraId="50780115" w14:textId="719A73D5" w:rsidR="00CE6D63" w:rsidRDefault="00CE6D63" w:rsidP="00860616">
            <w:pPr>
              <w:spacing w:line="360" w:lineRule="auto"/>
              <w:jc w:val="center"/>
              <w:rPr>
                <w:rFonts w:ascii="Times New Roman" w:hAnsi="Times New Roman" w:cs="Times New Roman"/>
              </w:rPr>
            </w:pPr>
            <w:r>
              <w:rPr>
                <w:rFonts w:ascii="Times New Roman" w:hAnsi="Times New Roman" w:cs="Times New Roman"/>
              </w:rPr>
              <w:t>0</w:t>
            </w:r>
          </w:p>
        </w:tc>
      </w:tr>
      <w:tr w:rsidR="00860616" w14:paraId="112D2DEF" w14:textId="77777777" w:rsidTr="00860616">
        <w:trPr>
          <w:trHeight w:val="382"/>
        </w:trPr>
        <w:tc>
          <w:tcPr>
            <w:tcW w:w="3209" w:type="dxa"/>
            <w:tcBorders>
              <w:top w:val="dotted" w:sz="4" w:space="0" w:color="auto"/>
              <w:left w:val="nil"/>
              <w:right w:val="nil"/>
            </w:tcBorders>
            <w:vAlign w:val="bottom"/>
          </w:tcPr>
          <w:p w14:paraId="57EBE02D" w14:textId="0CFCD2AA" w:rsidR="00CE6D63" w:rsidRDefault="00CE6D63" w:rsidP="00860616">
            <w:pPr>
              <w:spacing w:line="360" w:lineRule="auto"/>
              <w:rPr>
                <w:rFonts w:ascii="Times New Roman" w:hAnsi="Times New Roman" w:cs="Times New Roman"/>
              </w:rPr>
            </w:pPr>
            <w:r>
              <w:rPr>
                <w:rFonts w:ascii="Times New Roman" w:hAnsi="Times New Roman" w:cs="Times New Roman"/>
              </w:rPr>
              <w:t>Inside boat</w:t>
            </w:r>
          </w:p>
        </w:tc>
        <w:tc>
          <w:tcPr>
            <w:tcW w:w="1043" w:type="dxa"/>
            <w:tcBorders>
              <w:top w:val="dotted" w:sz="4" w:space="0" w:color="auto"/>
              <w:left w:val="nil"/>
              <w:right w:val="nil"/>
            </w:tcBorders>
            <w:vAlign w:val="bottom"/>
          </w:tcPr>
          <w:p w14:paraId="0F03FDE2" w14:textId="4D5AB38E" w:rsidR="00CE6D63" w:rsidRDefault="00CE6D63" w:rsidP="00860616">
            <w:pPr>
              <w:spacing w:line="360" w:lineRule="auto"/>
              <w:jc w:val="center"/>
              <w:rPr>
                <w:rFonts w:ascii="Times New Roman" w:hAnsi="Times New Roman" w:cs="Times New Roman"/>
              </w:rPr>
            </w:pPr>
            <w:r>
              <w:rPr>
                <w:rFonts w:ascii="Times New Roman" w:hAnsi="Times New Roman" w:cs="Times New Roman"/>
              </w:rPr>
              <w:t>1</w:t>
            </w:r>
          </w:p>
        </w:tc>
        <w:tc>
          <w:tcPr>
            <w:tcW w:w="883" w:type="dxa"/>
            <w:tcBorders>
              <w:top w:val="dotted" w:sz="4" w:space="0" w:color="auto"/>
              <w:left w:val="nil"/>
              <w:right w:val="nil"/>
            </w:tcBorders>
            <w:vAlign w:val="bottom"/>
          </w:tcPr>
          <w:p w14:paraId="272F9148" w14:textId="2BA72E1F" w:rsidR="00CE6D63" w:rsidRDefault="00CE6D63" w:rsidP="00860616">
            <w:pPr>
              <w:spacing w:line="360" w:lineRule="auto"/>
              <w:jc w:val="center"/>
              <w:rPr>
                <w:rFonts w:ascii="Times New Roman" w:hAnsi="Times New Roman" w:cs="Times New Roman"/>
              </w:rPr>
            </w:pPr>
            <w:r>
              <w:rPr>
                <w:rFonts w:ascii="Times New Roman" w:hAnsi="Times New Roman" w:cs="Times New Roman"/>
              </w:rPr>
              <w:t>1</w:t>
            </w:r>
          </w:p>
        </w:tc>
        <w:tc>
          <w:tcPr>
            <w:tcW w:w="1270" w:type="dxa"/>
            <w:tcBorders>
              <w:top w:val="dotted" w:sz="4" w:space="0" w:color="auto"/>
              <w:left w:val="nil"/>
              <w:right w:val="nil"/>
            </w:tcBorders>
            <w:vAlign w:val="bottom"/>
          </w:tcPr>
          <w:p w14:paraId="66E54A40" w14:textId="47A12571" w:rsidR="00CE6D63" w:rsidRDefault="00CE6D63" w:rsidP="00860616">
            <w:pPr>
              <w:spacing w:line="360" w:lineRule="auto"/>
              <w:jc w:val="center"/>
              <w:rPr>
                <w:rFonts w:ascii="Times New Roman" w:hAnsi="Times New Roman" w:cs="Times New Roman"/>
              </w:rPr>
            </w:pPr>
            <w:r>
              <w:rPr>
                <w:rFonts w:ascii="Times New Roman" w:hAnsi="Times New Roman" w:cs="Times New Roman"/>
              </w:rPr>
              <w:t>0</w:t>
            </w:r>
          </w:p>
        </w:tc>
        <w:tc>
          <w:tcPr>
            <w:tcW w:w="1490" w:type="dxa"/>
            <w:tcBorders>
              <w:top w:val="dotted" w:sz="4" w:space="0" w:color="auto"/>
              <w:left w:val="nil"/>
              <w:right w:val="nil"/>
            </w:tcBorders>
            <w:vAlign w:val="bottom"/>
          </w:tcPr>
          <w:p w14:paraId="055E63F4" w14:textId="0C263326" w:rsidR="00CE6D63" w:rsidRDefault="00CE6D63" w:rsidP="00860616">
            <w:pPr>
              <w:spacing w:line="360" w:lineRule="auto"/>
              <w:jc w:val="center"/>
              <w:rPr>
                <w:rFonts w:ascii="Times New Roman" w:hAnsi="Times New Roman" w:cs="Times New Roman"/>
              </w:rPr>
            </w:pPr>
            <w:r>
              <w:rPr>
                <w:rFonts w:ascii="Times New Roman" w:hAnsi="Times New Roman" w:cs="Times New Roman"/>
              </w:rPr>
              <w:t>3</w:t>
            </w:r>
          </w:p>
        </w:tc>
      </w:tr>
    </w:tbl>
    <w:p w14:paraId="16472BE1" w14:textId="5542E88E" w:rsidR="0054264A" w:rsidRDefault="007F190E" w:rsidP="007F190E">
      <w:pPr>
        <w:rPr>
          <w:rFonts w:ascii="Times New Roman" w:hAnsi="Times New Roman" w:cs="Times New Roman"/>
          <w:sz w:val="22"/>
        </w:rPr>
      </w:pPr>
      <w:r>
        <w:rPr>
          <w:rFonts w:ascii="Times New Roman" w:hAnsi="Times New Roman" w:cs="Times New Roman"/>
          <w:sz w:val="22"/>
        </w:rPr>
        <w:t xml:space="preserve">Table 2. </w:t>
      </w:r>
      <w:r w:rsidR="00860616" w:rsidRPr="007F190E">
        <w:rPr>
          <w:rFonts w:ascii="Times New Roman" w:hAnsi="Times New Roman" w:cs="Times New Roman"/>
          <w:sz w:val="22"/>
        </w:rPr>
        <w:t>Density in water column estimated from a single large (0.5m mouth) vertical zooplankton net tow. Density in sediment estimated from surface layer (1 cm) of sediment core. Trips occurred over 3 simulated trips in the fall of 2012. 2012 was a particularly poor year for spiny water flea population growth and abundance.</w:t>
      </w:r>
    </w:p>
    <w:p w14:paraId="405B3C26" w14:textId="77777777" w:rsidR="007F190E" w:rsidRPr="007F190E" w:rsidRDefault="007F190E" w:rsidP="007F190E">
      <w:pPr>
        <w:rPr>
          <w:rFonts w:ascii="Times New Roman" w:hAnsi="Times New Roman" w:cs="Times New Roman"/>
          <w:sz w:val="22"/>
        </w:rPr>
      </w:pPr>
    </w:p>
    <w:p w14:paraId="32A5CA74" w14:textId="1C329F2F" w:rsidR="00CE6D63" w:rsidRDefault="007F190E" w:rsidP="002C18D3">
      <w:pPr>
        <w:spacing w:line="360" w:lineRule="auto"/>
        <w:rPr>
          <w:rFonts w:ascii="Times New Roman" w:hAnsi="Times New Roman" w:cs="Times New Roman"/>
        </w:rPr>
      </w:pPr>
      <w:r w:rsidRPr="007F190E">
        <w:rPr>
          <w:rFonts w:ascii="Times New Roman" w:hAnsi="Times New Roman" w:cs="Times New Roman"/>
          <w:noProof/>
        </w:rPr>
        <mc:AlternateContent>
          <mc:Choice Requires="wps">
            <w:drawing>
              <wp:anchor distT="0" distB="0" distL="114300" distR="114300" simplePos="0" relativeHeight="251681280" behindDoc="1" locked="0" layoutInCell="1" allowOverlap="1" wp14:anchorId="06DD1C14" wp14:editId="31C0F7BC">
                <wp:simplePos x="0" y="0"/>
                <wp:positionH relativeFrom="column">
                  <wp:posOffset>-433070</wp:posOffset>
                </wp:positionH>
                <wp:positionV relativeFrom="paragraph">
                  <wp:posOffset>258445</wp:posOffset>
                </wp:positionV>
                <wp:extent cx="3528060" cy="3001010"/>
                <wp:effectExtent l="0" t="0" r="15240" b="27940"/>
                <wp:wrapTight wrapText="bothSides">
                  <wp:wrapPolygon edited="0">
                    <wp:start x="0" y="0"/>
                    <wp:lineTo x="0" y="21664"/>
                    <wp:lineTo x="21577" y="21664"/>
                    <wp:lineTo x="21577"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3001010"/>
                        </a:xfrm>
                        <a:prstGeom prst="rect">
                          <a:avLst/>
                        </a:prstGeom>
                        <a:solidFill>
                          <a:srgbClr val="FFFFFF"/>
                        </a:solidFill>
                        <a:ln w="9525">
                          <a:solidFill>
                            <a:srgbClr val="000000"/>
                          </a:solidFill>
                          <a:miter lim="800000"/>
                          <a:headEnd/>
                          <a:tailEnd/>
                        </a:ln>
                      </wps:spPr>
                      <wps:txbx>
                        <w:txbxContent>
                          <w:p w14:paraId="41F42386" w14:textId="025BD71A" w:rsidR="007F190E" w:rsidRDefault="007F190E">
                            <w:r>
                              <w:rPr>
                                <w:rFonts w:ascii="Times New Roman" w:hAnsi="Times New Roman" w:cs="Times New Roman"/>
                                <w:b/>
                                <w:noProof/>
                                <w:u w:val="single"/>
                              </w:rPr>
                              <w:drawing>
                                <wp:inline distT="0" distB="0" distL="0" distR="0" wp14:anchorId="1857A131" wp14:editId="0F75DEB5">
                                  <wp:extent cx="3377901" cy="2441986"/>
                                  <wp:effectExtent l="0" t="0" r="13335" b="15875"/>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C93DE3" w14:textId="624C0152" w:rsidR="007F190E" w:rsidRPr="003F4733" w:rsidRDefault="007F190E">
                            <w:pPr>
                              <w:rPr>
                                <w:sz w:val="22"/>
                              </w:rPr>
                            </w:pPr>
                            <w:r w:rsidRPr="003F4733">
                              <w:rPr>
                                <w:sz w:val="22"/>
                              </w:rPr>
                              <w:t>Fig. 5. Temporal variation in the number of resting eggs (/m3) in Lake Mendota during 2013</w:t>
                            </w:r>
                            <w:r w:rsidR="003F4733" w:rsidRPr="003F4733">
                              <w:rPr>
                                <w:sz w:val="22"/>
                              </w:rPr>
                              <w:t xml:space="preserve">.   </w:t>
                            </w:r>
                          </w:p>
                          <w:p w14:paraId="6D57F4CB" w14:textId="77777777" w:rsidR="007F190E" w:rsidRDefault="007F19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4.1pt;margin-top:20.35pt;width:277.8pt;height:236.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">
                <v:textbox>
                  <w:txbxContent>
                    <w:p w14:paraId="41F42386" w14:textId="025BD71A" w:rsidR="007F190E" w:rsidRDefault="007F190E">
                      <w:r>
                        <w:rPr>
                          <w:rFonts w:ascii="Times New Roman" w:hAnsi="Times New Roman" w:cs="Times New Roman"/>
                          <w:b/>
                          <w:noProof/>
                          <w:u w:val="single"/>
                        </w:rPr>
                        <w:drawing>
                          <wp:inline distT="0" distB="0" distL="0" distR="0" wp14:anchorId="1857A131" wp14:editId="0F75DEB5">
                            <wp:extent cx="3377901" cy="2441986"/>
                            <wp:effectExtent l="0" t="0" r="13335" b="15875"/>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C93DE3" w14:textId="624C0152" w:rsidR="007F190E" w:rsidRPr="003F4733" w:rsidRDefault="007F190E">
                      <w:pPr>
                        <w:rPr>
                          <w:sz w:val="22"/>
                        </w:rPr>
                      </w:pPr>
                      <w:r w:rsidRPr="003F4733">
                        <w:rPr>
                          <w:sz w:val="22"/>
                        </w:rPr>
                        <w:t>Fig. 5. Temporal variation in the number of resting eggs (/m3) in Lake Mendota during 2013</w:t>
                      </w:r>
                      <w:r w:rsidR="003F4733" w:rsidRPr="003F4733">
                        <w:rPr>
                          <w:sz w:val="22"/>
                        </w:rPr>
                        <w:t xml:space="preserve">.   </w:t>
                      </w:r>
                    </w:p>
                    <w:p w14:paraId="6D57F4CB" w14:textId="77777777" w:rsidR="007F190E" w:rsidRDefault="007F190E"/>
                  </w:txbxContent>
                </v:textbox>
                <w10:wrap type="tight"/>
              </v:shape>
            </w:pict>
          </mc:Fallback>
        </mc:AlternateContent>
      </w:r>
    </w:p>
    <w:p w14:paraId="035C1496" w14:textId="649FB003" w:rsidR="007F190E" w:rsidRDefault="007F190E" w:rsidP="007F190E">
      <w:pPr>
        <w:spacing w:line="360" w:lineRule="auto"/>
        <w:rPr>
          <w:rFonts w:ascii="Times New Roman" w:hAnsi="Times New Roman" w:cs="Times New Roman"/>
        </w:rPr>
      </w:pPr>
      <w:r>
        <w:rPr>
          <w:rFonts w:ascii="Times New Roman" w:hAnsi="Times New Roman" w:cs="Times New Roman"/>
        </w:rPr>
        <w:t>In addition, we estimated the number of eggs per cubic meter</w:t>
      </w:r>
      <w:r w:rsidR="003F4733">
        <w:rPr>
          <w:rFonts w:ascii="Times New Roman" w:hAnsi="Times New Roman" w:cs="Times New Roman"/>
        </w:rPr>
        <w:t xml:space="preserve"> of water in Lake Mendota 2013 (Fig. 5)</w:t>
      </w:r>
      <w:r>
        <w:rPr>
          <w:rFonts w:ascii="Times New Roman" w:hAnsi="Times New Roman" w:cs="Times New Roman"/>
        </w:rPr>
        <w:t>. Despite difficulty detecting hitchhiking spiny water flea on our simulated trips on Lake Mendota, this low density multiplied over the many boats leaving the lake could represent a significant pathway for spiny water flea invasion.</w:t>
      </w:r>
    </w:p>
    <w:p w14:paraId="79F68133" w14:textId="0207DD55" w:rsidR="007F190E" w:rsidRDefault="007F190E" w:rsidP="002C18D3">
      <w:pPr>
        <w:spacing w:line="360" w:lineRule="auto"/>
        <w:rPr>
          <w:rFonts w:ascii="Times New Roman" w:hAnsi="Times New Roman" w:cs="Times New Roman"/>
        </w:rPr>
      </w:pPr>
    </w:p>
    <w:p w14:paraId="00C78A0E" w14:textId="77777777" w:rsidR="007F190E" w:rsidRDefault="007F190E" w:rsidP="002C18D3">
      <w:pPr>
        <w:spacing w:line="360" w:lineRule="auto"/>
        <w:rPr>
          <w:rFonts w:ascii="Times New Roman" w:hAnsi="Times New Roman" w:cs="Times New Roman"/>
        </w:rPr>
      </w:pPr>
    </w:p>
    <w:p w14:paraId="2323580B" w14:textId="77777777" w:rsidR="00CE6D63" w:rsidRPr="006A6576" w:rsidRDefault="00CE6D63" w:rsidP="002C18D3">
      <w:pPr>
        <w:spacing w:line="360" w:lineRule="auto"/>
        <w:rPr>
          <w:rFonts w:ascii="Times New Roman" w:hAnsi="Times New Roman" w:cs="Times New Roman"/>
        </w:rPr>
      </w:pPr>
    </w:p>
    <w:p w14:paraId="1C0F75DA" w14:textId="36DB0E50" w:rsidR="00A8651C" w:rsidRPr="006A6576" w:rsidRDefault="00A8651C" w:rsidP="002C18D3">
      <w:pPr>
        <w:spacing w:line="360" w:lineRule="auto"/>
        <w:rPr>
          <w:rFonts w:ascii="Times New Roman" w:hAnsi="Times New Roman" w:cs="Times New Roman"/>
          <w:b/>
        </w:rPr>
      </w:pPr>
      <w:r w:rsidRPr="006A6576">
        <w:rPr>
          <w:rFonts w:ascii="Times New Roman" w:hAnsi="Times New Roman" w:cs="Times New Roman"/>
          <w:b/>
        </w:rPr>
        <w:t>Products and deliverables</w:t>
      </w:r>
    </w:p>
    <w:p w14:paraId="5F19996D" w14:textId="0CB5336C" w:rsidR="00587047" w:rsidRDefault="00587047" w:rsidP="002C18D3">
      <w:pPr>
        <w:spacing w:line="360" w:lineRule="auto"/>
        <w:rPr>
          <w:rFonts w:ascii="Times New Roman" w:hAnsi="Times New Roman" w:cs="Times New Roman"/>
          <w:i/>
        </w:rPr>
      </w:pPr>
      <w:r>
        <w:rPr>
          <w:rFonts w:ascii="Times New Roman" w:hAnsi="Times New Roman" w:cs="Times New Roman"/>
        </w:rPr>
        <w:t>We have documented dramatic ecological and economic impacts in</w:t>
      </w:r>
      <w:r w:rsidR="00F45BCE">
        <w:rPr>
          <w:rFonts w:ascii="Times New Roman" w:hAnsi="Times New Roman" w:cs="Times New Roman"/>
        </w:rPr>
        <w:t xml:space="preserve"> Lake Mendota, where </w:t>
      </w:r>
      <w:r>
        <w:rPr>
          <w:rFonts w:ascii="Times New Roman" w:hAnsi="Times New Roman" w:cs="Times New Roman"/>
        </w:rPr>
        <w:t xml:space="preserve">data </w:t>
      </w:r>
      <w:r w:rsidR="00F45BCE">
        <w:rPr>
          <w:rFonts w:ascii="Times New Roman" w:hAnsi="Times New Roman" w:cs="Times New Roman"/>
        </w:rPr>
        <w:t>were available to do this</w:t>
      </w:r>
      <w:r>
        <w:rPr>
          <w:rFonts w:ascii="Times New Roman" w:hAnsi="Times New Roman" w:cs="Times New Roman"/>
        </w:rPr>
        <w:t>.</w:t>
      </w:r>
      <w:r w:rsidR="00F45BCE">
        <w:rPr>
          <w:rFonts w:ascii="Times New Roman" w:hAnsi="Times New Roman" w:cs="Times New Roman"/>
        </w:rPr>
        <w:t xml:space="preserve"> While impacts may be heterogeneous among lakes, t</w:t>
      </w:r>
      <w:r>
        <w:rPr>
          <w:rFonts w:ascii="Times New Roman" w:hAnsi="Times New Roman" w:cs="Times New Roman"/>
        </w:rPr>
        <w:t>his</w:t>
      </w:r>
      <w:r w:rsidR="00F45BCE">
        <w:rPr>
          <w:rFonts w:ascii="Times New Roman" w:hAnsi="Times New Roman" w:cs="Times New Roman"/>
        </w:rPr>
        <w:t xml:space="preserve"> finding</w:t>
      </w:r>
      <w:r>
        <w:rPr>
          <w:rFonts w:ascii="Times New Roman" w:hAnsi="Times New Roman" w:cs="Times New Roman"/>
        </w:rPr>
        <w:t xml:space="preserve"> highlights the need to keep spiny water flea from spreading further, especially in southern WI lakes. We are still working on </w:t>
      </w:r>
      <w:r w:rsidR="00F45BCE">
        <w:rPr>
          <w:rFonts w:ascii="Times New Roman" w:hAnsi="Times New Roman" w:cs="Times New Roman"/>
        </w:rPr>
        <w:t xml:space="preserve">our </w:t>
      </w:r>
      <w:r>
        <w:rPr>
          <w:rFonts w:ascii="Times New Roman" w:hAnsi="Times New Roman" w:cs="Times New Roman"/>
        </w:rPr>
        <w:t xml:space="preserve">early detection protocols, but our preliminary data indicates Ekman grabs as the most reliable tool for </w:t>
      </w:r>
      <w:r w:rsidRPr="006A6576">
        <w:rPr>
          <w:rFonts w:ascii="Times New Roman" w:hAnsi="Times New Roman" w:cs="Times New Roman"/>
        </w:rPr>
        <w:t>spiny water flea presence</w:t>
      </w:r>
      <w:r>
        <w:rPr>
          <w:rFonts w:ascii="Times New Roman" w:hAnsi="Times New Roman" w:cs="Times New Roman"/>
        </w:rPr>
        <w:t xml:space="preserve"> detection. And finally, our work strongly indicates the role of anchors and </w:t>
      </w:r>
      <w:r>
        <w:rPr>
          <w:rFonts w:ascii="Times New Roman" w:hAnsi="Times New Roman" w:cs="Times New Roman"/>
        </w:rPr>
        <w:lastRenderedPageBreak/>
        <w:t>anchor lines transporting resting eggs as the main ta</w:t>
      </w:r>
      <w:r w:rsidR="00F45BCE">
        <w:rPr>
          <w:rFonts w:ascii="Times New Roman" w:hAnsi="Times New Roman" w:cs="Times New Roman"/>
        </w:rPr>
        <w:t>rget for controlling SWF spread in the future.</w:t>
      </w:r>
    </w:p>
    <w:p w14:paraId="3CF03644" w14:textId="77777777" w:rsidR="00A96771" w:rsidRPr="003F4733" w:rsidRDefault="00A96771" w:rsidP="003F4733">
      <w:pPr>
        <w:spacing w:line="360" w:lineRule="auto"/>
        <w:rPr>
          <w:rFonts w:ascii="Times New Roman" w:hAnsi="Times New Roman" w:cs="Times New Roman"/>
        </w:rPr>
      </w:pPr>
    </w:p>
    <w:p w14:paraId="665E9A9A" w14:textId="08D6E48F" w:rsidR="00A96771" w:rsidRPr="00A96771" w:rsidRDefault="00A96771" w:rsidP="002C18D3">
      <w:pPr>
        <w:spacing w:line="360" w:lineRule="auto"/>
        <w:rPr>
          <w:rFonts w:ascii="Times New Roman" w:hAnsi="Times New Roman" w:cs="Times New Roman"/>
        </w:rPr>
      </w:pPr>
      <w:r w:rsidRPr="00A96771">
        <w:rPr>
          <w:rFonts w:ascii="Times New Roman" w:hAnsi="Times New Roman" w:cs="Times New Roman"/>
        </w:rPr>
        <w:t>Jake Walsh gave a public presentation at the North American Lakes Management Society conference on the impact of the spiny water flea in Lake Mendota. He presented at the WI lakes convention in 2014, and at the Joint Aquati</w:t>
      </w:r>
      <w:r>
        <w:rPr>
          <w:rFonts w:ascii="Times New Roman" w:hAnsi="Times New Roman" w:cs="Times New Roman"/>
        </w:rPr>
        <w:t>c Sc</w:t>
      </w:r>
      <w:r w:rsidR="006739DF">
        <w:rPr>
          <w:rFonts w:ascii="Times New Roman" w:hAnsi="Times New Roman" w:cs="Times New Roman"/>
        </w:rPr>
        <w:t xml:space="preserve">iences meeting in May 2014, </w:t>
      </w:r>
      <w:r>
        <w:rPr>
          <w:rFonts w:ascii="Times New Roman" w:hAnsi="Times New Roman" w:cs="Times New Roman"/>
        </w:rPr>
        <w:t>the Ecological Society of America in August of 2015</w:t>
      </w:r>
      <w:r w:rsidR="006739DF">
        <w:rPr>
          <w:rFonts w:ascii="Times New Roman" w:hAnsi="Times New Roman" w:cs="Times New Roman"/>
        </w:rPr>
        <w:t>, and at the annual spiny water flea meetings organized by Whitewater Associates from 2011 - 2013</w:t>
      </w:r>
      <w:r>
        <w:rPr>
          <w:rFonts w:ascii="Times New Roman" w:hAnsi="Times New Roman" w:cs="Times New Roman"/>
        </w:rPr>
        <w:t xml:space="preserve">. </w:t>
      </w:r>
      <w:r w:rsidR="003F4733" w:rsidRPr="00A96771">
        <w:rPr>
          <w:rFonts w:ascii="Times New Roman" w:hAnsi="Times New Roman" w:cs="Times New Roman"/>
        </w:rPr>
        <w:t xml:space="preserve">Jake Walsh provided a </w:t>
      </w:r>
      <w:r w:rsidR="003F4733">
        <w:rPr>
          <w:rFonts w:ascii="Times New Roman" w:hAnsi="Times New Roman" w:cs="Times New Roman"/>
        </w:rPr>
        <w:t xml:space="preserve">large amount of material and a </w:t>
      </w:r>
      <w:r w:rsidR="003F4733" w:rsidRPr="00A96771">
        <w:rPr>
          <w:rFonts w:ascii="Times New Roman" w:hAnsi="Times New Roman" w:cs="Times New Roman"/>
        </w:rPr>
        <w:t>report for Whitewater</w:t>
      </w:r>
      <w:r w:rsidR="003F4733">
        <w:rPr>
          <w:rFonts w:ascii="Times New Roman" w:hAnsi="Times New Roman" w:cs="Times New Roman"/>
        </w:rPr>
        <w:t xml:space="preserve"> Associates</w:t>
      </w:r>
      <w:r w:rsidR="003F4733" w:rsidRPr="00A96771">
        <w:rPr>
          <w:rFonts w:ascii="Times New Roman" w:hAnsi="Times New Roman" w:cs="Times New Roman"/>
        </w:rPr>
        <w:t xml:space="preserve">. </w:t>
      </w:r>
      <w:r w:rsidRPr="00A96771">
        <w:rPr>
          <w:rFonts w:ascii="Times New Roman" w:hAnsi="Times New Roman" w:cs="Times New Roman"/>
        </w:rPr>
        <w:t xml:space="preserve">Jake Vander Zanden </w:t>
      </w:r>
      <w:r>
        <w:rPr>
          <w:rFonts w:ascii="Times New Roman" w:hAnsi="Times New Roman" w:cs="Times New Roman"/>
        </w:rPr>
        <w:t>has</w:t>
      </w:r>
      <w:r w:rsidRPr="00A96771">
        <w:rPr>
          <w:rFonts w:ascii="Times New Roman" w:hAnsi="Times New Roman" w:cs="Times New Roman"/>
        </w:rPr>
        <w:t xml:space="preserve"> presented these findings to a number of audiences, including the Clean Lakes Alliance </w:t>
      </w:r>
      <w:r>
        <w:rPr>
          <w:rFonts w:ascii="Times New Roman" w:hAnsi="Times New Roman" w:cs="Times New Roman"/>
        </w:rPr>
        <w:t xml:space="preserve">(once in conjuction with Jake Walsh) </w:t>
      </w:r>
      <w:r w:rsidRPr="00A96771">
        <w:rPr>
          <w:rFonts w:ascii="Times New Roman" w:hAnsi="Times New Roman" w:cs="Times New Roman"/>
        </w:rPr>
        <w:t>two times.</w:t>
      </w:r>
      <w:r w:rsidR="009E2A5E">
        <w:rPr>
          <w:rFonts w:ascii="Times New Roman" w:hAnsi="Times New Roman" w:cs="Times New Roman"/>
        </w:rPr>
        <w:t xml:space="preserve"> We have shared this work</w:t>
      </w:r>
      <w:r w:rsidR="009E2A5E" w:rsidRPr="006A6576">
        <w:rPr>
          <w:rFonts w:ascii="Times New Roman" w:hAnsi="Times New Roman" w:cs="Times New Roman"/>
        </w:rPr>
        <w:t xml:space="preserve"> at regular meetings with DNR</w:t>
      </w:r>
      <w:r w:rsidR="009E2A5E">
        <w:rPr>
          <w:rFonts w:ascii="Times New Roman" w:hAnsi="Times New Roman" w:cs="Times New Roman"/>
        </w:rPr>
        <w:t xml:space="preserve"> staff, AIS coordinators meetings</w:t>
      </w:r>
      <w:r w:rsidR="003F4733">
        <w:rPr>
          <w:rFonts w:ascii="Times New Roman" w:hAnsi="Times New Roman" w:cs="Times New Roman"/>
        </w:rPr>
        <w:t xml:space="preserve"> (including Oct 2015)</w:t>
      </w:r>
      <w:r w:rsidR="009E2A5E">
        <w:rPr>
          <w:rFonts w:ascii="Times New Roman" w:hAnsi="Times New Roman" w:cs="Times New Roman"/>
        </w:rPr>
        <w:t>,</w:t>
      </w:r>
      <w:r w:rsidR="009E2A5E" w:rsidRPr="006A6576">
        <w:rPr>
          <w:rFonts w:ascii="Times New Roman" w:hAnsi="Times New Roman" w:cs="Times New Roman"/>
        </w:rPr>
        <w:t xml:space="preserve"> and other partners of the project.</w:t>
      </w:r>
      <w:r w:rsidRPr="00A96771">
        <w:rPr>
          <w:rFonts w:ascii="Times New Roman" w:hAnsi="Times New Roman" w:cs="Times New Roman"/>
        </w:rPr>
        <w:t xml:space="preserve"> This work was featured in a July 26 2014 feature article in the Milwaukee Journal Sentinel (</w:t>
      </w:r>
      <w:hyperlink r:id="rId19" w:history="1">
        <w:r w:rsidRPr="00A96771">
          <w:rPr>
            <w:rStyle w:val="Hyperlink"/>
            <w:rFonts w:ascii="Times New Roman" w:hAnsi="Times New Roman" w:cs="Times New Roman"/>
          </w:rPr>
          <w:t>http://m.jsonline.com/267014431.htm</w:t>
        </w:r>
      </w:hyperlink>
      <w:r w:rsidRPr="00A96771">
        <w:rPr>
          <w:rFonts w:ascii="Times New Roman" w:hAnsi="Times New Roman" w:cs="Times New Roman"/>
        </w:rPr>
        <w:t>), a feature in the May 14 2014 Cap Times/Wisconsin Watch (</w:t>
      </w:r>
      <w:hyperlink r:id="rId20" w:history="1">
        <w:r w:rsidRPr="00A96771">
          <w:rPr>
            <w:rStyle w:val="Hyperlink"/>
            <w:rFonts w:ascii="Times New Roman" w:hAnsi="Times New Roman" w:cs="Times New Roman"/>
          </w:rPr>
          <w:t>http://wisconsinwatch.org/2014/05/water-cleaning-crustacean-devoured-by-new-predator-in-lake-mendota/</w:t>
        </w:r>
      </w:hyperlink>
      <w:r w:rsidRPr="00A96771">
        <w:rPr>
          <w:rFonts w:ascii="Times New Roman" w:hAnsi="Times New Roman" w:cs="Times New Roman"/>
        </w:rPr>
        <w:t xml:space="preserve">), and NBC15 in spring of 2015. </w:t>
      </w:r>
      <w:r>
        <w:rPr>
          <w:rFonts w:ascii="Times New Roman" w:hAnsi="Times New Roman" w:cs="Times New Roman"/>
        </w:rPr>
        <w:t>Vander Zanden wrote an</w:t>
      </w:r>
      <w:r w:rsidRPr="00A96771">
        <w:rPr>
          <w:rFonts w:ascii="Times New Roman" w:hAnsi="Times New Roman" w:cs="Times New Roman"/>
        </w:rPr>
        <w:t xml:space="preserve"> article for the Yahara Lakes Association new</w:t>
      </w:r>
      <w:r>
        <w:rPr>
          <w:rFonts w:ascii="Times New Roman" w:hAnsi="Times New Roman" w:cs="Times New Roman"/>
        </w:rPr>
        <w:t>s</w:t>
      </w:r>
      <w:r w:rsidRPr="00A96771">
        <w:rPr>
          <w:rFonts w:ascii="Times New Roman" w:hAnsi="Times New Roman" w:cs="Times New Roman"/>
        </w:rPr>
        <w:t xml:space="preserve">letter. Overall, we have reached a large audience with this work, and have </w:t>
      </w:r>
      <w:r>
        <w:t>dramatically increased awareness of spiny water flea in Madison and elsewhere.</w:t>
      </w:r>
    </w:p>
    <w:p w14:paraId="565E0639" w14:textId="77777777" w:rsidR="00A96771" w:rsidRPr="00C44FFB" w:rsidRDefault="00A96771" w:rsidP="002C18D3">
      <w:pPr>
        <w:spacing w:line="360" w:lineRule="auto"/>
        <w:rPr>
          <w:rFonts w:ascii="Times New Roman" w:hAnsi="Times New Roman" w:cs="Times New Roman"/>
        </w:rPr>
      </w:pPr>
    </w:p>
    <w:p w14:paraId="70219158" w14:textId="77777777" w:rsidR="00A96771" w:rsidRPr="00562DB4" w:rsidRDefault="00A96771" w:rsidP="002C18D3">
      <w:pPr>
        <w:spacing w:line="360" w:lineRule="auto"/>
        <w:rPr>
          <w:b/>
        </w:rPr>
      </w:pPr>
      <w:r w:rsidRPr="00562DB4">
        <w:rPr>
          <w:b/>
        </w:rPr>
        <w:t>Expected Publications</w:t>
      </w:r>
    </w:p>
    <w:p w14:paraId="52D1D89A" w14:textId="7D089C15" w:rsidR="00A96771" w:rsidRDefault="00A96771" w:rsidP="002C18D3">
      <w:pPr>
        <w:pStyle w:val="ListParagraph"/>
        <w:numPr>
          <w:ilvl w:val="0"/>
          <w:numId w:val="4"/>
        </w:numPr>
        <w:spacing w:line="360" w:lineRule="auto"/>
      </w:pPr>
      <w:r>
        <w:t>The impact of the spiny water flea cascades into primary production in Lake Mendota (WI, USA) [</w:t>
      </w:r>
      <w:r w:rsidR="00F45BCE">
        <w:t xml:space="preserve">intended outlet: </w:t>
      </w:r>
      <w:r>
        <w:t>Nature]</w:t>
      </w:r>
    </w:p>
    <w:p w14:paraId="576F5AB2" w14:textId="483C5801" w:rsidR="00A96771" w:rsidRDefault="00A96771" w:rsidP="002C18D3">
      <w:pPr>
        <w:pStyle w:val="ListParagraph"/>
        <w:numPr>
          <w:ilvl w:val="0"/>
          <w:numId w:val="4"/>
        </w:numPr>
        <w:spacing w:line="360" w:lineRule="auto"/>
      </w:pPr>
      <w:r>
        <w:t>The impact of the spiny water flea on the food web dynamics and ecological processes of two eutrophic lakes. [</w:t>
      </w:r>
      <w:r w:rsidR="00F45BCE">
        <w:t xml:space="preserve">intended outlet: </w:t>
      </w:r>
      <w:r>
        <w:t>Ecological Monographs]</w:t>
      </w:r>
    </w:p>
    <w:p w14:paraId="65F734D4" w14:textId="07C22F86" w:rsidR="00A96771" w:rsidRDefault="00F45BCE" w:rsidP="002C18D3">
      <w:pPr>
        <w:pStyle w:val="ListParagraph"/>
        <w:numPr>
          <w:ilvl w:val="0"/>
          <w:numId w:val="4"/>
        </w:numPr>
        <w:spacing w:line="360" w:lineRule="auto"/>
      </w:pPr>
      <w:r>
        <w:t>Sleeper cells: e</w:t>
      </w:r>
      <w:r w:rsidR="00A96771">
        <w:t xml:space="preserve">nvironmental conditions trigger </w:t>
      </w:r>
      <w:r>
        <w:t>population boom</w:t>
      </w:r>
      <w:r w:rsidR="00A96771">
        <w:t xml:space="preserve"> of spiny water flea in Lake Mendota (WI). [</w:t>
      </w:r>
      <w:r>
        <w:t xml:space="preserve">intended outlet: </w:t>
      </w:r>
      <w:r w:rsidR="00A96771">
        <w:t>Ecology]</w:t>
      </w:r>
    </w:p>
    <w:p w14:paraId="57B2A4DF" w14:textId="282E1AE7" w:rsidR="00A96771" w:rsidRDefault="00A96771" w:rsidP="002C18D3">
      <w:pPr>
        <w:pStyle w:val="ListParagraph"/>
        <w:numPr>
          <w:ilvl w:val="0"/>
          <w:numId w:val="4"/>
        </w:numPr>
        <w:spacing w:line="360" w:lineRule="auto"/>
      </w:pPr>
      <w:r>
        <w:t>Modeling population dynamics at the landscape level: Predicting spiny water flea abundance in susceptible lakes across North America. [</w:t>
      </w:r>
      <w:r w:rsidR="00F45BCE">
        <w:t>intended outlet: Ecology</w:t>
      </w:r>
      <w:r>
        <w:t>]</w:t>
      </w:r>
    </w:p>
    <w:p w14:paraId="7B6BE283" w14:textId="7B4E137B" w:rsidR="00A96771" w:rsidRPr="00B95428" w:rsidRDefault="00A96771" w:rsidP="002C18D3">
      <w:pPr>
        <w:pStyle w:val="ListParagraph"/>
        <w:numPr>
          <w:ilvl w:val="0"/>
          <w:numId w:val="4"/>
        </w:numPr>
        <w:spacing w:line="360" w:lineRule="auto"/>
        <w:rPr>
          <w:rFonts w:ascii="Times New Roman" w:hAnsi="Times New Roman" w:cs="Times New Roman"/>
        </w:rPr>
      </w:pPr>
      <w:r>
        <w:lastRenderedPageBreak/>
        <w:t>Early detection methods for the invasive spiny water flea (</w:t>
      </w:r>
      <w:r w:rsidRPr="00B95428">
        <w:rPr>
          <w:i/>
        </w:rPr>
        <w:t>Bythotrephes longimanus</w:t>
      </w:r>
      <w:r>
        <w:t>).</w:t>
      </w:r>
      <w:r w:rsidR="00F45BCE" w:rsidRPr="00F45BCE">
        <w:t xml:space="preserve"> </w:t>
      </w:r>
      <w:r w:rsidR="00F45BCE">
        <w:t>[intended outlet: Canadian Journal of Fisheries and Aquatic Sciences]</w:t>
      </w:r>
    </w:p>
    <w:p w14:paraId="398FFE4D" w14:textId="77777777" w:rsidR="00A96771" w:rsidRDefault="00A96771" w:rsidP="002C18D3">
      <w:pPr>
        <w:spacing w:line="360" w:lineRule="auto"/>
        <w:rPr>
          <w:rFonts w:ascii="Times New Roman" w:hAnsi="Times New Roman" w:cs="Times New Roman"/>
        </w:rPr>
      </w:pPr>
    </w:p>
    <w:p w14:paraId="42931184" w14:textId="2736BB22" w:rsidR="008D3EE6" w:rsidRPr="006A6576" w:rsidRDefault="008D3EE6" w:rsidP="002C18D3">
      <w:pPr>
        <w:spacing w:line="360" w:lineRule="auto"/>
        <w:ind w:left="720" w:hanging="720"/>
        <w:rPr>
          <w:rFonts w:ascii="Times New Roman" w:hAnsi="Times New Roman" w:cs="Times New Roman"/>
          <w:b/>
        </w:rPr>
      </w:pPr>
      <w:r w:rsidRPr="006A6576">
        <w:rPr>
          <w:rFonts w:ascii="Times New Roman" w:hAnsi="Times New Roman" w:cs="Times New Roman"/>
          <w:b/>
        </w:rPr>
        <w:t>Literature Cited</w:t>
      </w:r>
    </w:p>
    <w:p w14:paraId="24BCD991" w14:textId="4DC07383" w:rsidR="008964BB" w:rsidRPr="006A6576" w:rsidRDefault="008D3EE6" w:rsidP="002C18D3">
      <w:pPr>
        <w:spacing w:line="360" w:lineRule="auto"/>
        <w:ind w:left="720" w:hanging="720"/>
        <w:rPr>
          <w:rFonts w:ascii="Times New Roman" w:hAnsi="Times New Roman" w:cs="Times New Roman"/>
          <w:noProof/>
        </w:rPr>
      </w:pPr>
      <w:r w:rsidRPr="006A6576">
        <w:rPr>
          <w:rFonts w:ascii="Times New Roman" w:hAnsi="Times New Roman" w:cs="Times New Roman"/>
        </w:rPr>
        <w:fldChar w:fldCharType="begin"/>
      </w:r>
      <w:r w:rsidRPr="006A6576">
        <w:rPr>
          <w:rFonts w:ascii="Times New Roman" w:hAnsi="Times New Roman" w:cs="Times New Roman"/>
        </w:rPr>
        <w:instrText xml:space="preserve"> ADDIN EN.REFLIST </w:instrText>
      </w:r>
      <w:r w:rsidRPr="006A6576">
        <w:rPr>
          <w:rFonts w:ascii="Times New Roman" w:hAnsi="Times New Roman" w:cs="Times New Roman"/>
        </w:rPr>
        <w:fldChar w:fldCharType="separate"/>
      </w:r>
      <w:bookmarkStart w:id="1" w:name="_ENREF_1"/>
      <w:r w:rsidRPr="006A6576">
        <w:rPr>
          <w:rFonts w:ascii="Times New Roman" w:hAnsi="Times New Roman" w:cs="Times New Roman"/>
          <w:noProof/>
        </w:rPr>
        <w:t>Barbiero, R</w:t>
      </w:r>
      <w:r w:rsidR="001429B3" w:rsidRPr="006A6576">
        <w:rPr>
          <w:rFonts w:ascii="Times New Roman" w:hAnsi="Times New Roman" w:cs="Times New Roman"/>
          <w:noProof/>
        </w:rPr>
        <w:t>.</w:t>
      </w:r>
      <w:r w:rsidRPr="006A6576">
        <w:rPr>
          <w:rFonts w:ascii="Times New Roman" w:hAnsi="Times New Roman" w:cs="Times New Roman"/>
          <w:noProof/>
        </w:rPr>
        <w:t>P</w:t>
      </w:r>
      <w:r w:rsidR="001429B3" w:rsidRPr="006A6576">
        <w:rPr>
          <w:rFonts w:ascii="Times New Roman" w:hAnsi="Times New Roman" w:cs="Times New Roman"/>
          <w:noProof/>
        </w:rPr>
        <w:t>. and D.C. Rockwell.</w:t>
      </w:r>
      <w:r w:rsidRPr="006A6576">
        <w:rPr>
          <w:rFonts w:ascii="Times New Roman" w:hAnsi="Times New Roman" w:cs="Times New Roman"/>
          <w:noProof/>
        </w:rPr>
        <w:t xml:space="preserve">  2008. Changes in the crustacean communities of the central basin of Lake Erie during the first full year of the </w:t>
      </w:r>
      <w:r w:rsidRPr="006A6576">
        <w:rPr>
          <w:rFonts w:ascii="Times New Roman" w:hAnsi="Times New Roman" w:cs="Times New Roman"/>
          <w:i/>
          <w:noProof/>
        </w:rPr>
        <w:t>Bythotrephes longimanus</w:t>
      </w:r>
      <w:r w:rsidRPr="006A6576">
        <w:rPr>
          <w:rFonts w:ascii="Times New Roman" w:hAnsi="Times New Roman" w:cs="Times New Roman"/>
          <w:noProof/>
        </w:rPr>
        <w:t xml:space="preserve"> invasion.  </w:t>
      </w:r>
      <w:r w:rsidRPr="006A6576">
        <w:rPr>
          <w:rFonts w:ascii="Times New Roman" w:hAnsi="Times New Roman" w:cs="Times New Roman"/>
          <w:i/>
          <w:noProof/>
        </w:rPr>
        <w:t>Journal of Great Lakes Research</w:t>
      </w:r>
      <w:r w:rsidRPr="006A6576">
        <w:rPr>
          <w:rFonts w:ascii="Times New Roman" w:hAnsi="Times New Roman" w:cs="Times New Roman"/>
          <w:noProof/>
        </w:rPr>
        <w:t xml:space="preserve"> </w:t>
      </w:r>
      <w:r w:rsidRPr="006A6576">
        <w:rPr>
          <w:rFonts w:ascii="Times New Roman" w:hAnsi="Times New Roman" w:cs="Times New Roman"/>
          <w:b/>
          <w:noProof/>
        </w:rPr>
        <w:t>34</w:t>
      </w:r>
      <w:r w:rsidRPr="006A6576">
        <w:rPr>
          <w:rFonts w:ascii="Times New Roman" w:hAnsi="Times New Roman" w:cs="Times New Roman"/>
          <w:noProof/>
        </w:rPr>
        <w:t>(1): 109-</w:t>
      </w:r>
      <w:r w:rsidR="001429B3" w:rsidRPr="006A6576">
        <w:rPr>
          <w:rFonts w:ascii="Times New Roman" w:hAnsi="Times New Roman" w:cs="Times New Roman"/>
          <w:noProof/>
        </w:rPr>
        <w:t>1</w:t>
      </w:r>
      <w:r w:rsidRPr="006A6576">
        <w:rPr>
          <w:rFonts w:ascii="Times New Roman" w:hAnsi="Times New Roman" w:cs="Times New Roman"/>
          <w:noProof/>
        </w:rPr>
        <w:t>21.</w:t>
      </w:r>
    </w:p>
    <w:p w14:paraId="5531C325" w14:textId="46EFE67A" w:rsidR="00E427DA" w:rsidRPr="006A6576" w:rsidRDefault="00E427DA"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Compton, J.A. and W.C. Kerfoot.  2004.  Colonizing inland lakes:  Consequences of YOY fish ingesting the spiny cladoceran (</w:t>
      </w:r>
      <w:r w:rsidRPr="006A6576">
        <w:rPr>
          <w:rFonts w:ascii="Times New Roman" w:hAnsi="Times New Roman" w:cs="Times New Roman"/>
          <w:i/>
          <w:noProof/>
        </w:rPr>
        <w:t>Bythotrephes cederstroemi</w:t>
      </w:r>
      <w:r w:rsidRPr="006A6576">
        <w:rPr>
          <w:rFonts w:ascii="Times New Roman" w:hAnsi="Times New Roman" w:cs="Times New Roman"/>
          <w:noProof/>
        </w:rPr>
        <w:t xml:space="preserve">).  </w:t>
      </w:r>
      <w:r w:rsidRPr="006A6576">
        <w:rPr>
          <w:rFonts w:ascii="Times New Roman" w:hAnsi="Times New Roman" w:cs="Times New Roman"/>
          <w:i/>
          <w:noProof/>
        </w:rPr>
        <w:t xml:space="preserve">Journal of Great Lakes Research </w:t>
      </w:r>
      <w:r w:rsidRPr="006A6576">
        <w:rPr>
          <w:rFonts w:ascii="Times New Roman" w:hAnsi="Times New Roman" w:cs="Times New Roman"/>
          <w:b/>
          <w:noProof/>
        </w:rPr>
        <w:t xml:space="preserve">30(Supplement 1):  </w:t>
      </w:r>
      <w:r w:rsidRPr="006A6576">
        <w:rPr>
          <w:rFonts w:ascii="Times New Roman" w:hAnsi="Times New Roman" w:cs="Times New Roman"/>
          <w:noProof/>
        </w:rPr>
        <w:t>315-326.</w:t>
      </w:r>
    </w:p>
    <w:p w14:paraId="05034EDF" w14:textId="762A3F04" w:rsidR="004E17E4" w:rsidRPr="006A6576" w:rsidRDefault="008964BB" w:rsidP="002C18D3">
      <w:pPr>
        <w:spacing w:line="360" w:lineRule="auto"/>
        <w:ind w:left="720" w:hanging="720"/>
        <w:rPr>
          <w:rFonts w:ascii="Times New Roman" w:hAnsi="Times New Roman" w:cs="Times New Roman"/>
          <w:b/>
          <w:noProof/>
        </w:rPr>
      </w:pPr>
      <w:r w:rsidRPr="006A6576">
        <w:rPr>
          <w:rFonts w:ascii="Times New Roman" w:hAnsi="Times New Roman" w:cs="Times New Roman"/>
          <w:noProof/>
        </w:rPr>
        <w:t xml:space="preserve">Lathrop, RC.  1988.  Trends in summer phosphorus, chlorophyll and water clarity in the Yahara Lakes, 1976-1988.  </w:t>
      </w:r>
      <w:r w:rsidRPr="006A6576">
        <w:rPr>
          <w:rFonts w:ascii="Times New Roman" w:hAnsi="Times New Roman" w:cs="Times New Roman"/>
          <w:i/>
          <w:noProof/>
        </w:rPr>
        <w:t>Research and Management Findings</w:t>
      </w:r>
      <w:r w:rsidRPr="006A6576">
        <w:rPr>
          <w:rFonts w:ascii="Times New Roman" w:hAnsi="Times New Roman" w:cs="Times New Roman"/>
          <w:noProof/>
        </w:rPr>
        <w:t xml:space="preserve"> </w:t>
      </w:r>
      <w:r w:rsidRPr="006A6576">
        <w:rPr>
          <w:rFonts w:ascii="Times New Roman" w:hAnsi="Times New Roman" w:cs="Times New Roman"/>
          <w:b/>
          <w:noProof/>
        </w:rPr>
        <w:t>17.</w:t>
      </w:r>
    </w:p>
    <w:p w14:paraId="19668E97" w14:textId="7E9D5DF3" w:rsidR="001429B3" w:rsidRPr="006A6576" w:rsidRDefault="004E17E4"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Michigan Department of Natural Resources.  2011.  Lake Gogebic.  Retrieved from http://www.michigan.gov/dnr/</w:t>
      </w:r>
    </w:p>
    <w:p w14:paraId="037B3823" w14:textId="2E31A9A0" w:rsidR="00F67652" w:rsidRPr="006A6576" w:rsidRDefault="00F67652"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Northern Temperate Lakes Long Term Ecological Research.  2011.  Trout lake region lake characteristics [data table].  Retrieved from http://lter.limnology.wisc.edu/about/lakes/</w:t>
      </w:r>
    </w:p>
    <w:p w14:paraId="2AE3A11E" w14:textId="2FEEFE45" w:rsidR="006A5394" w:rsidRPr="006A6576" w:rsidRDefault="001429B3"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 xml:space="preserve">Strecker, A.L. and S.E. Arnott. 2008.  Invasive predator, </w:t>
      </w:r>
      <w:r w:rsidRPr="006A6576">
        <w:rPr>
          <w:rFonts w:ascii="Times New Roman" w:hAnsi="Times New Roman" w:cs="Times New Roman"/>
          <w:i/>
          <w:noProof/>
        </w:rPr>
        <w:t>Bythotrephes</w:t>
      </w:r>
      <w:r w:rsidRPr="006A6576">
        <w:rPr>
          <w:rFonts w:ascii="Times New Roman" w:hAnsi="Times New Roman" w:cs="Times New Roman"/>
          <w:noProof/>
        </w:rPr>
        <w:t xml:space="preserve">, has varied effects on ecosystem function in freshwater lakes.  </w:t>
      </w:r>
      <w:r w:rsidRPr="006A6576">
        <w:rPr>
          <w:rFonts w:ascii="Times New Roman" w:hAnsi="Times New Roman" w:cs="Times New Roman"/>
          <w:i/>
          <w:noProof/>
        </w:rPr>
        <w:t xml:space="preserve">Ecosystems </w:t>
      </w:r>
      <w:r w:rsidRPr="006A6576">
        <w:rPr>
          <w:rFonts w:ascii="Times New Roman" w:hAnsi="Times New Roman" w:cs="Times New Roman"/>
          <w:b/>
          <w:noProof/>
        </w:rPr>
        <w:t>11(3)</w:t>
      </w:r>
      <w:r w:rsidR="004E17E4" w:rsidRPr="006A6576">
        <w:rPr>
          <w:rFonts w:ascii="Times New Roman" w:hAnsi="Times New Roman" w:cs="Times New Roman"/>
          <w:noProof/>
        </w:rPr>
        <w:t>:  490-503.</w:t>
      </w:r>
    </w:p>
    <w:p w14:paraId="3DD3E43D" w14:textId="09125888" w:rsidR="004E17E4" w:rsidRPr="006A6576" w:rsidRDefault="006A5394"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 xml:space="preserve">Walsh, J.W.  2011.  The impact of the spiny water flea, </w:t>
      </w:r>
      <w:r w:rsidRPr="006A6576">
        <w:rPr>
          <w:rFonts w:ascii="Times New Roman" w:hAnsi="Times New Roman" w:cs="Times New Roman"/>
          <w:i/>
          <w:noProof/>
        </w:rPr>
        <w:t>Bythotrephes longimanus</w:t>
      </w:r>
      <w:r w:rsidRPr="006A6576">
        <w:rPr>
          <w:rFonts w:ascii="Times New Roman" w:hAnsi="Times New Roman" w:cs="Times New Roman"/>
          <w:noProof/>
        </w:rPr>
        <w:t>, on the native zooplankton community of Lake Mendota, WI.  Unpublished raw data.</w:t>
      </w:r>
    </w:p>
    <w:p w14:paraId="0D9A0B2D" w14:textId="46BE2EB3" w:rsidR="001429B3" w:rsidRPr="006A6576" w:rsidRDefault="004E17E4"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Wisconsin Department of Natural Resources.  2011.  Lake Water Quality 2011 Annual Reports.  Retrieved from http://dnr.wi.gov/lakes/waterquality/</w:t>
      </w:r>
    </w:p>
    <w:p w14:paraId="5B5E37CF" w14:textId="5493D779" w:rsidR="001429B3" w:rsidRPr="006A6576" w:rsidRDefault="001429B3"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 xml:space="preserve">Yan, N.D., Leung, B., Lewis, M.A. and S.D. Peacor.  2011.  The spread, establishment and impacts of the spiny water flea, </w:t>
      </w:r>
      <w:r w:rsidRPr="006A6576">
        <w:rPr>
          <w:rFonts w:ascii="Times New Roman" w:hAnsi="Times New Roman" w:cs="Times New Roman"/>
          <w:i/>
          <w:noProof/>
        </w:rPr>
        <w:t>Bythotrephes longimanus</w:t>
      </w:r>
      <w:r w:rsidRPr="006A6576">
        <w:rPr>
          <w:rFonts w:ascii="Times New Roman" w:hAnsi="Times New Roman" w:cs="Times New Roman"/>
          <w:noProof/>
        </w:rPr>
        <w:t xml:space="preserve">, in temperate North America:  a synopsis of the special issue.  </w:t>
      </w:r>
      <w:r w:rsidRPr="006A6576">
        <w:rPr>
          <w:rFonts w:ascii="Times New Roman" w:hAnsi="Times New Roman" w:cs="Times New Roman"/>
          <w:i/>
          <w:noProof/>
        </w:rPr>
        <w:t>Biological Invasions</w:t>
      </w:r>
      <w:r w:rsidRPr="006A6576">
        <w:rPr>
          <w:rFonts w:ascii="Times New Roman" w:hAnsi="Times New Roman" w:cs="Times New Roman"/>
          <w:noProof/>
        </w:rPr>
        <w:t xml:space="preserve"> </w:t>
      </w:r>
      <w:r w:rsidRPr="006A6576">
        <w:rPr>
          <w:rFonts w:ascii="Times New Roman" w:hAnsi="Times New Roman" w:cs="Times New Roman"/>
          <w:b/>
          <w:noProof/>
        </w:rPr>
        <w:t>13(11):</w:t>
      </w:r>
      <w:r w:rsidRPr="006A6576">
        <w:rPr>
          <w:rFonts w:ascii="Times New Roman" w:hAnsi="Times New Roman" w:cs="Times New Roman"/>
          <w:noProof/>
        </w:rPr>
        <w:t xml:space="preserve">  2423-2432.</w:t>
      </w:r>
    </w:p>
    <w:p w14:paraId="5E87F6D0" w14:textId="52A66595" w:rsidR="008D3EE6" w:rsidRPr="006A6576" w:rsidRDefault="001429B3" w:rsidP="002C18D3">
      <w:pPr>
        <w:spacing w:line="360" w:lineRule="auto"/>
        <w:ind w:left="720" w:hanging="720"/>
        <w:rPr>
          <w:rFonts w:ascii="Times New Roman" w:hAnsi="Times New Roman" w:cs="Times New Roman"/>
          <w:noProof/>
        </w:rPr>
      </w:pPr>
      <w:r w:rsidRPr="006A6576">
        <w:rPr>
          <w:rFonts w:ascii="Times New Roman" w:hAnsi="Times New Roman" w:cs="Times New Roman"/>
          <w:noProof/>
        </w:rPr>
        <w:t xml:space="preserve">Yan, ND and Pawson, TW.  1997.  Changes in the crustacean zooplankton community of Harp Lake, Canada following invasion by </w:t>
      </w:r>
      <w:r w:rsidRPr="006A6576">
        <w:rPr>
          <w:rFonts w:ascii="Times New Roman" w:hAnsi="Times New Roman" w:cs="Times New Roman"/>
          <w:i/>
          <w:noProof/>
        </w:rPr>
        <w:t>Bythotrephes cederstroemi</w:t>
      </w:r>
      <w:r w:rsidRPr="006A6576">
        <w:rPr>
          <w:rFonts w:ascii="Times New Roman" w:hAnsi="Times New Roman" w:cs="Times New Roman"/>
          <w:noProof/>
        </w:rPr>
        <w:t xml:space="preserve">.  </w:t>
      </w:r>
      <w:r w:rsidRPr="006A6576">
        <w:rPr>
          <w:rFonts w:ascii="Times New Roman" w:hAnsi="Times New Roman" w:cs="Times New Roman"/>
          <w:i/>
          <w:noProof/>
        </w:rPr>
        <w:t xml:space="preserve">Freshwater Biology </w:t>
      </w:r>
      <w:r w:rsidRPr="006A6576">
        <w:rPr>
          <w:rFonts w:ascii="Times New Roman" w:hAnsi="Times New Roman" w:cs="Times New Roman"/>
          <w:b/>
          <w:noProof/>
        </w:rPr>
        <w:t xml:space="preserve">37(2):  </w:t>
      </w:r>
      <w:r w:rsidR="001F22E9" w:rsidRPr="006A6576">
        <w:rPr>
          <w:rFonts w:ascii="Times New Roman" w:hAnsi="Times New Roman" w:cs="Times New Roman"/>
          <w:noProof/>
        </w:rPr>
        <w:t>409</w:t>
      </w:r>
      <w:r w:rsidRPr="006A6576">
        <w:rPr>
          <w:rFonts w:ascii="Times New Roman" w:hAnsi="Times New Roman" w:cs="Times New Roman"/>
          <w:noProof/>
        </w:rPr>
        <w:t>-425.</w:t>
      </w:r>
    </w:p>
    <w:bookmarkEnd w:id="1"/>
    <w:p w14:paraId="75B2C13D" w14:textId="5B56B5AB" w:rsidR="00EE5247" w:rsidRDefault="008D3EE6" w:rsidP="00F45BCE">
      <w:pPr>
        <w:spacing w:line="360" w:lineRule="auto"/>
        <w:ind w:left="720" w:hanging="720"/>
        <w:rPr>
          <w:b/>
          <w:sz w:val="32"/>
        </w:rPr>
      </w:pPr>
      <w:r w:rsidRPr="006A6576">
        <w:rPr>
          <w:rFonts w:ascii="Times New Roman" w:hAnsi="Times New Roman" w:cs="Times New Roman"/>
        </w:rPr>
        <w:lastRenderedPageBreak/>
        <w:fldChar w:fldCharType="end"/>
      </w:r>
      <w:r w:rsidR="00EE5247">
        <w:rPr>
          <w:b/>
          <w:sz w:val="32"/>
        </w:rPr>
        <w:t>Appendix 1</w:t>
      </w:r>
    </w:p>
    <w:p w14:paraId="65AC2C02" w14:textId="77777777" w:rsidR="00EE5247" w:rsidRDefault="00EE5247" w:rsidP="00EE5247">
      <w:pPr>
        <w:spacing w:line="480" w:lineRule="auto"/>
        <w:rPr>
          <w:b/>
          <w:sz w:val="32"/>
        </w:rPr>
      </w:pPr>
    </w:p>
    <w:p w14:paraId="19212378" w14:textId="77777777" w:rsidR="00EE5247" w:rsidRPr="005A224E" w:rsidRDefault="00EE5247" w:rsidP="00EE5247">
      <w:pPr>
        <w:spacing w:line="480" w:lineRule="auto"/>
        <w:rPr>
          <w:b/>
          <w:sz w:val="32"/>
        </w:rPr>
      </w:pPr>
      <w:r w:rsidRPr="005A224E">
        <w:rPr>
          <w:b/>
          <w:sz w:val="32"/>
        </w:rPr>
        <w:t xml:space="preserve">Massive ecological and economic impact of an invasive species </w:t>
      </w:r>
    </w:p>
    <w:p w14:paraId="275A64CC" w14:textId="77777777" w:rsidR="00EE5247" w:rsidRDefault="00EE5247" w:rsidP="00EE5247">
      <w:pPr>
        <w:spacing w:line="480" w:lineRule="auto"/>
      </w:pPr>
    </w:p>
    <w:p w14:paraId="51D9B469" w14:textId="77777777" w:rsidR="00EE5247" w:rsidRDefault="00EE5247" w:rsidP="00EE5247">
      <w:pPr>
        <w:spacing w:line="480" w:lineRule="auto"/>
      </w:pPr>
      <w:r>
        <w:t>Jake R. Walsh, Stephen R. Carpenter, and M. Jake Vander Zanden</w:t>
      </w:r>
    </w:p>
    <w:p w14:paraId="27EAF2DE" w14:textId="77777777" w:rsidR="00EE5247" w:rsidRDefault="00EE5247" w:rsidP="00EE5247">
      <w:pPr>
        <w:spacing w:line="480" w:lineRule="auto"/>
      </w:pPr>
    </w:p>
    <w:p w14:paraId="7B73F680" w14:textId="77777777" w:rsidR="00EE5247" w:rsidRDefault="00EE5247" w:rsidP="00EE5247">
      <w:pPr>
        <w:spacing w:line="480" w:lineRule="auto"/>
      </w:pPr>
      <w:r>
        <w:t>Center for Limnology, University of Wisconsin – Madison</w:t>
      </w:r>
    </w:p>
    <w:p w14:paraId="2AC4941F" w14:textId="77777777" w:rsidR="00EE5247" w:rsidRDefault="00EE5247" w:rsidP="00EE5247">
      <w:pPr>
        <w:spacing w:line="480" w:lineRule="auto"/>
      </w:pPr>
      <w:r>
        <w:t>680 N Park St, Madison, WI 53713</w:t>
      </w:r>
    </w:p>
    <w:p w14:paraId="52733A69" w14:textId="77777777" w:rsidR="00EE5247" w:rsidRDefault="00EE5247" w:rsidP="00EE5247">
      <w:pPr>
        <w:spacing w:line="480" w:lineRule="auto"/>
      </w:pPr>
    </w:p>
    <w:p w14:paraId="29949D1F" w14:textId="77777777" w:rsidR="00EE5247" w:rsidRDefault="00EE5247" w:rsidP="00EE5247">
      <w:pPr>
        <w:spacing w:line="480" w:lineRule="auto"/>
      </w:pPr>
      <w:r>
        <w:t xml:space="preserve">Corresponding Author: </w:t>
      </w:r>
    </w:p>
    <w:p w14:paraId="455C72F9" w14:textId="77777777" w:rsidR="00EE5247" w:rsidRDefault="00EE5247" w:rsidP="00EE5247">
      <w:pPr>
        <w:spacing w:line="480" w:lineRule="auto"/>
      </w:pPr>
      <w:r>
        <w:t>Jake R. Walsh</w:t>
      </w:r>
    </w:p>
    <w:p w14:paraId="06B38397" w14:textId="77777777" w:rsidR="00EE5247" w:rsidRPr="00BF122C" w:rsidRDefault="00F763E9" w:rsidP="00EE5247">
      <w:pPr>
        <w:spacing w:line="480" w:lineRule="auto"/>
      </w:pPr>
      <w:hyperlink r:id="rId21" w:history="1">
        <w:r w:rsidR="00EE5247" w:rsidRPr="00E93B65">
          <w:rPr>
            <w:rStyle w:val="Hyperlink"/>
          </w:rPr>
          <w:t>jransom.walsh@gmail.com</w:t>
        </w:r>
      </w:hyperlink>
    </w:p>
    <w:p w14:paraId="2FCBF61F" w14:textId="77777777" w:rsidR="00EE5247" w:rsidRDefault="00EE5247" w:rsidP="00EE5247">
      <w:pPr>
        <w:spacing w:line="480" w:lineRule="auto"/>
      </w:pPr>
      <w:r>
        <w:t>(608) 263-2465</w:t>
      </w:r>
    </w:p>
    <w:p w14:paraId="3EADDAEE" w14:textId="77777777" w:rsidR="00EE5247" w:rsidRDefault="00EE5247" w:rsidP="00EE5247">
      <w:pPr>
        <w:spacing w:line="480" w:lineRule="auto"/>
      </w:pPr>
    </w:p>
    <w:p w14:paraId="2EB4A3DE" w14:textId="77777777" w:rsidR="00EE5247" w:rsidRDefault="00EE5247" w:rsidP="00EE5247">
      <w:pPr>
        <w:spacing w:line="480" w:lineRule="auto"/>
      </w:pPr>
      <w:r>
        <w:t>Keywords: invasive species, ecosystem services, water quality, Daphnia, Bythotrephes longimanus, spiny water flea, lake, eutrophication</w:t>
      </w:r>
    </w:p>
    <w:p w14:paraId="62FF5975" w14:textId="77777777" w:rsidR="00EE5247" w:rsidRDefault="00EE5247" w:rsidP="00EE5247">
      <w:pPr>
        <w:spacing w:line="480" w:lineRule="auto"/>
      </w:pPr>
    </w:p>
    <w:p w14:paraId="7917C739" w14:textId="77777777" w:rsidR="00EE5247" w:rsidRDefault="00EE5247" w:rsidP="00EE5247">
      <w:pPr>
        <w:spacing w:line="480" w:lineRule="auto"/>
      </w:pPr>
      <w:r>
        <w:t xml:space="preserve">In preparation for </w:t>
      </w:r>
      <w:r w:rsidRPr="005A224E">
        <w:rPr>
          <w:i/>
        </w:rPr>
        <w:t>Nature</w:t>
      </w:r>
      <w:r w:rsidRPr="000E5F02">
        <w:br w:type="page"/>
      </w:r>
    </w:p>
    <w:p w14:paraId="2042E13A" w14:textId="77777777" w:rsidR="00EE5247" w:rsidRPr="00DB75B6" w:rsidRDefault="00EE5247" w:rsidP="00EE5247">
      <w:pPr>
        <w:spacing w:line="480" w:lineRule="auto"/>
        <w:rPr>
          <w:b/>
        </w:rPr>
      </w:pPr>
      <w:r>
        <w:rPr>
          <w:b/>
        </w:rPr>
        <w:lastRenderedPageBreak/>
        <w:t>Despite</w:t>
      </w:r>
      <w:r w:rsidRPr="00DB75B6">
        <w:rPr>
          <w:b/>
        </w:rPr>
        <w:t xml:space="preserve"> major adva</w:t>
      </w:r>
      <w:r>
        <w:rPr>
          <w:b/>
        </w:rPr>
        <w:t>nces in the global recognition</w:t>
      </w:r>
      <w:r w:rsidRPr="00DB75B6">
        <w:rPr>
          <w:b/>
        </w:rPr>
        <w:t xml:space="preserve"> of the value of ecosystem services, the direct connection between invasive species and their impacts on ecosystem goods and services is poorly characterized.</w:t>
      </w:r>
      <w:r>
        <w:rPr>
          <w:b/>
        </w:rPr>
        <w:t xml:space="preserve"> This is concerning as i</w:t>
      </w:r>
      <w:r w:rsidRPr="00DB75B6">
        <w:rPr>
          <w:b/>
        </w:rPr>
        <w:t>nvasive species cause enormous ecological damages and the</w:t>
      </w:r>
      <w:r>
        <w:rPr>
          <w:b/>
        </w:rPr>
        <w:t>ir</w:t>
      </w:r>
      <w:r w:rsidRPr="00DB75B6">
        <w:rPr>
          <w:b/>
        </w:rPr>
        <w:t xml:space="preserve"> impacts on human well-being</w:t>
      </w:r>
      <w:r>
        <w:rPr>
          <w:b/>
        </w:rPr>
        <w:t xml:space="preserve"> are likely </w:t>
      </w:r>
      <w:r w:rsidRPr="00DB75B6">
        <w:rPr>
          <w:b/>
        </w:rPr>
        <w:t xml:space="preserve">similarly </w:t>
      </w:r>
      <w:r>
        <w:rPr>
          <w:b/>
        </w:rPr>
        <w:t>large and harmful.</w:t>
      </w:r>
      <w:r w:rsidRPr="00DB75B6">
        <w:rPr>
          <w:b/>
        </w:rPr>
        <w:t xml:space="preserve"> Here we evaluate the economic impacts of an invasive species on a </w:t>
      </w:r>
      <w:r>
        <w:rPr>
          <w:b/>
        </w:rPr>
        <w:t>valuable</w:t>
      </w:r>
      <w:r w:rsidRPr="00DB75B6">
        <w:rPr>
          <w:b/>
        </w:rPr>
        <w:t xml:space="preserve"> cultural ecosystem service. The predatory zooplankton, the spiny water flea (SWF), inva</w:t>
      </w:r>
      <w:r>
        <w:rPr>
          <w:b/>
        </w:rPr>
        <w:t>ded Lake Mendota (WI, USA) where</w:t>
      </w:r>
      <w:r w:rsidRPr="00DB75B6">
        <w:rPr>
          <w:b/>
        </w:rPr>
        <w:t xml:space="preserve"> it has maintained record densities. Through predation on the water-purifying algae grazer, </w:t>
      </w:r>
      <w:r w:rsidRPr="00DB75B6">
        <w:rPr>
          <w:b/>
          <w:i/>
        </w:rPr>
        <w:t xml:space="preserve">Daphnia pulicaria </w:t>
      </w:r>
      <w:r w:rsidRPr="00DB75B6">
        <w:rPr>
          <w:b/>
        </w:rPr>
        <w:t xml:space="preserve">(60% biomass loss), SWF has caused never before seen cascading effects on water clarity (0.9m decline), which has been valued at US$140M (US$640 per household) present-day value in citizens’ willingness-to-pay for 1m of water clarity. We find that clarity in Mendota is driven by </w:t>
      </w:r>
      <w:r w:rsidRPr="00DB75B6">
        <w:rPr>
          <w:b/>
          <w:i/>
        </w:rPr>
        <w:t xml:space="preserve">D. pulicaria </w:t>
      </w:r>
      <w:r w:rsidRPr="00DB75B6">
        <w:rPr>
          <w:b/>
        </w:rPr>
        <w:t>biomass, phosphorus, and seasonal surface temperature with 57% of the decline in clarity directly related to a loss in grazing. To offset these effects of SWF,</w:t>
      </w:r>
      <w:r>
        <w:rPr>
          <w:b/>
        </w:rPr>
        <w:t xml:space="preserve"> we estimate</w:t>
      </w:r>
      <w:r w:rsidRPr="00DB75B6">
        <w:rPr>
          <w:b/>
        </w:rPr>
        <w:t xml:space="preserve"> it would take an 80% reduction in </w:t>
      </w:r>
      <w:r>
        <w:rPr>
          <w:b/>
        </w:rPr>
        <w:t>P-load</w:t>
      </w:r>
      <w:r w:rsidRPr="00DB75B6">
        <w:rPr>
          <w:b/>
        </w:rPr>
        <w:t>ing, costing US$175M (US$810 per household). These results highlight the ecological and economic importance of assessment and valuation of invasion impacts on ecosystem services to help inform public policy</w:t>
      </w:r>
      <w:r>
        <w:rPr>
          <w:b/>
        </w:rPr>
        <w:t xml:space="preserve"> where trade-offs between the costs of invasive management and damages must be considered simultaneously.</w:t>
      </w:r>
      <w:r w:rsidRPr="00DB75B6">
        <w:rPr>
          <w:b/>
          <w:i/>
        </w:rPr>
        <w:br w:type="page"/>
      </w:r>
    </w:p>
    <w:p w14:paraId="40C729F0" w14:textId="77777777" w:rsidR="00EE5247" w:rsidRDefault="00EE5247" w:rsidP="00EE5247">
      <w:pPr>
        <w:spacing w:line="480" w:lineRule="auto"/>
      </w:pPr>
      <w:r>
        <w:lastRenderedPageBreak/>
        <w:tab/>
        <w:t>Despite exponential increases in global recognition of the importance of ecosystem services</w:t>
      </w:r>
      <w:r>
        <w:fldChar w:fldCharType="begin"/>
      </w:r>
      <w:r>
        <w:instrText xml:space="preserve"> ADDIN ZOTERO_ITEM CSL_CITATION {"citationID":"1ukte4ru5t","properties":{"formattedCitation":"{\\rtf \\super 1\\nosupersub{}}","plainCitation":"1"},"citationItems":[{"id":1729,"uris":["http://zotero.org/users/905549/items/X8CU8S3S"],"uri":["http://zotero.org/users/905549/items/X8CU8S3S"],"itemData":{"id":1729,"type":"article-journal","title":"Natural capital and ecosystem services informing decisions: From promise to practice","container-title":"Proceedings of the National Academy of Sciences","page":"7348-7355","volume":"112","issue":"24","source":"www.pnas.org","abstract":"The central challenge of the 21st century is to develop economic, social, and governance systems capable of ending poverty and achieving sustainable levels of population and consumption while securing the life-support systems underpinning current and future human well-being. Essential to meeting this challenge is the incorporation of natural capital and the ecosystem services it provides into decision-making. We explore progress and crucial gaps at this frontier, reflecting upon the 10 y since the Millennium Ecosystem Assessment. We focus on three key dimensions of progress and ongoing challenges: raising awareness of the interdependence of ecosystems and human well-being, advancing the fundamental interdisciplinary science of ecosystem services, and implementing this science in decisions to restore natural capital and use it sustainably. Awareness of human dependence on nature is at an all-time high, the science of ecosystem services is rapidly advancing, and talk of natural capital is now common from governments to corporate boardrooms. However, successful implementation is still in early stages. We explore why ecosystem service information has yet to fundamentally change decision-making and suggest a path forward that emphasizes: (i) developing solid evidence linking decisions to impacts on natural capital and ecosystem services, and then to human well-being; (ii) working closely with leaders in government, business, and civil society to develop the knowledge, tools, and practices necessary to integrate natural capital and ecosystem services into everyday decision-making; and (iii) reforming institutions to change policy and practices to better align private short-term goals with societal long-term goals.","DOI":"10.1073/pnas.1503751112","ISSN":"0027-8424, 1091-6490","note":"PMID: 26082539","shortTitle":"Natural capital and ecosystem services informing decisions","journalAbbreviation":"PNAS","language":"en","author":[{"family":"Guerry","given":"Anne D."},{"family":"Polasky","given":"Stephen"},{"family":"Lubchenco","given":"Jane"},{"family":"Chaplin-Kramer","given":"Rebecca"},{"family":"Daily","given":"Gretchen C."},{"family":"Griffin","given":"Robert"},{"family":"Ruckelshaus","given":"Mary"},{"family":"Bateman","given":"Ian J."},{"family":"Duraiappah","given":"Anantha"},{"family":"Elmqvist","given":"Thomas"},{"family":"Feldman","given":"Marcus W."},{"family":"Folke","given":"Carl"},{"family":"Hoekstra","given":"Jon"},{"family":"Kareiva","given":"Peter M."},{"family":"Keeler","given":"Bonnie L."},{"family":"Li","given":"Shuzhuo"},{"family":"McKenzie","given":"Emily"},{"family":"Ouyang","given":"Zhiyun"},{"family":"Reyers","given":"Belinda"},{"family":"Ricketts","given":"Taylor H."},{"family":"Rockström","given":"Johan"},{"family":"Tallis","given":"Heather"},{"family":"Vira","given":"Bhaskar"}],"issued":{"date-parts":[["2015",6,16]]},"PMID":"26082539"}}],"schema":"https://github.com/citation-style-language/schema/raw/master/csl-citation.json"} </w:instrText>
      </w:r>
      <w:r>
        <w:fldChar w:fldCharType="separate"/>
      </w:r>
      <w:r w:rsidRPr="00DB75B6">
        <w:rPr>
          <w:vertAlign w:val="superscript"/>
        </w:rPr>
        <w:t>1</w:t>
      </w:r>
      <w:r>
        <w:fldChar w:fldCharType="end"/>
      </w:r>
      <w:r>
        <w:t>, linkages between species invasions and ecosystem services remain poorly documented and poorly understood</w:t>
      </w:r>
      <w:r>
        <w:fldChar w:fldCharType="begin"/>
      </w:r>
      <w:r>
        <w:instrText xml:space="preserve"> ADDIN ZOTERO_ITEM CSL_CITATION {"citationID":"LYh3mkt4","properties":{"formattedCitation":"{\\rtf \\super 2,3\\nosupersub{}}","plainCitation":"2,3"},"citationItems":[{"id":309,"uris":["http://zotero.org/users/905549/items/TMC26T7T"],"uri":["http://zotero.org/users/905549/items/TMC26T7T"],"itemData":{"id":309,"type":"article-journal","title":"Invasive species, ecosystem services and human well-being","container-title":"Trends in Ecology &amp; Evolution","page":"497-504","volume":"24","issue":"9","source":"Cell Press","DOI":"10.1016/j.tree.2009.03.016","ISSN":"0169-5347","author":[{"family":"Pejchar","given":"Liba"},{"family":"Mooney","given":"Harold A."}],"issued":{"date-parts":[["2009",9,1]]}}},{"id":1705,"uris":["http://zotero.org/users/905549/items/FQGRAR9N"],"uri":["http://zotero.org/users/905549/items/FQGRAR9N"],"itemData":{"id":1705,"type":"chapter","title":"Impacts of invasive species on ecosystem services","container-title":"Ecological Studies - Biological Invasions","publisher":"Springer","publisher-place":"Verlag Berlin Heidelberg","volume":"193","event-place":"Verlag Berlin Heidelberg","author":[{"family":"Charles","given":"Heather"},{"family":"Dukes","given":"Jeffrey S."}],"issued":{"date-parts":[["2007"]]}}}],"schema":"https://github.com/citation-style-language/schema/raw/master/csl-citation.json"} </w:instrText>
      </w:r>
      <w:r>
        <w:fldChar w:fldCharType="separate"/>
      </w:r>
      <w:r w:rsidRPr="00173866">
        <w:rPr>
          <w:vertAlign w:val="superscript"/>
        </w:rPr>
        <w:t>2,3</w:t>
      </w:r>
      <w:r>
        <w:fldChar w:fldCharType="end"/>
      </w:r>
      <w:r>
        <w:t>. Globally, invasive species are among the primary threats to ecosystem resilience and the sustainability of ecosystem services</w:t>
      </w:r>
      <w:r>
        <w:fldChar w:fldCharType="begin"/>
      </w:r>
      <w:r>
        <w:instrText xml:space="preserve"> ADDIN ZOTERO_ITEM CSL_CITATION {"citationID":"YUuI3y0k","properties":{"formattedCitation":"{\\rtf \\super 4\\uc0\\u8211{}6\\nosupersub{}}","plainCitation":"4–6"},"citationItems":[{"id":427,"uris":["http://zotero.org/users/905549/items/DS2QZBN3"],"uri":["http://zotero.org/users/905549/items/DS2QZBN3"],"itemData":{"id":427,"type":"article-journal","title":"Impact assessment revisited: improving the theoretical basis for   management of invasive alien species","container-title":"Biological Invasions","page":"2025-2035","volume":"12","issue":"7","source":"ISI Web of Knowledge","abstract":"The theoretical underpinnings of the assessment of invasive alien   species impacts need to be improved. At present most approaches are   unreliable to quantify impact at regional scales and do not allow for   comparison of different invasive species. There are four basic problems   that need to be addressed: (1) Some impacted ecosystem traits are   spatially not additive; (2) invader effects may increase non-linearly   with abundance or there may be effect thresholds impairing estimates of   linear impact models; (3) the abundance and impact of alien species will   often co-vary with environmental variation; and (4) the total invaded   range is an inappropriate measure for quantifying regional impact   because the habitat area available for invasion can vary markedly among   invasive species. Mathematical models and empirical data using an   invasive alien plant species (Heracleum mantegazzianum) indicate that   ignoring these issues leads to impact estimates almost an order of   magnitude from the real values. Thus, we propose a habitat-sensitive   formula for regional impact assessment that is unaffected by   non-linearity. Furthermore, we make some statistical suggestions on how   to assess invader effects properly and we discuss the quantification of   the invaded range. These improvements are crucial for impact assessment   with the overall aim of prioritizing management of invasive species.","DOI":"10.1007/s10530-009-9605-2","ISSN":"1387-3547","note":"WOS:000278897800011","shortTitle":"Impact assessment revisited","journalAbbreviation":"Biol. Invasions","language":"English","author":[{"family":"Thiele","given":"Jan"},{"family":"Kollmann","given":"Johannes"},{"family":"Markussen","given":"Bo"},{"family":"Otte","given":"Annette"}],"issued":{"date-parts":[["2010",7]]}}},{"id":174,"uris":["http://zotero.org/users/905549/items/TJC7UB3Q"],"uri":["http://zotero.org/users/905549/items/TJC7UB3Q"],"itemData":{"id":174,"type":"article-journal","title":"Ecosystem Consequences of Biological Invasions","container-title":"Annual Review of Ecology, Evolution, and Systematics","page":"59-80","volume":"41","issue":"1","source":"CrossRef","DOI":"10.1146/annurev-ecolsys-102209-144650","ISSN":"1543-592X, 1545-2069","author":[{"family":"Ehrenfeld","given":"Joan G."}],"issued":{"date-parts":[["2010",12]]}}},{"id":1748,"uris":["http://zotero.org/users/905549/items/HF38QNZQ"],"uri":["http://zotero.org/users/905549/items/HF38QNZQ"],"itemData":{"id":1748,"type":"article-journal","title":"Broader perspective on ecosystem sustainability: Consequences for decision making","container-title":"Proceedings of the National Academy of Sciences","page":"9201-9208","volume":"110","issue":"23","source":"www.pnas.org","abstract":"Although the concept of ecosystem sustainability has a long-term focus, it is often viewed from a static system perspective. Because most ecosystems are dynamic, we explore sustainability assessments from three additional perspectives: resilient systems; systems where tipping points occur; and systems subject to episodic resetting. Whereas foundations of ecosystem resilience originated in ecology, recent discussions have focused on geophysical attributes, and it is recognized that dynamic system components may not return to their former state following perturbations. Tipping points emerge when chronic changes (typically anthropogenic, but sometimes natural) push ecosystems to thresholds that cause collapse of process and function and may become permanent. Ecosystem resetting occurs when episodic natural disasters breach thresholds with little or no warning, resulting in long-term changes to environmental attributes or ecosystem function. An example of sustainability assessment of ecosystem goods and services along the Gulf Coast (USA) demonstrates the need to include both the resilient and dynamic nature of biogeomorphic components. Mountain road development in northwest Yunnan, China, makes rivers and related habitat vulnerable to tipping points. Ecosystems reset by natural disasters are also presented, emphasizing the need to understand the magnitude frequency and interrelationships among major disturbances, as shown by (i) the 2011 Great East Japan Earthquake and resulting tsunami, including how unsustainable urban development exacerbates geodisaster propagation, and (ii) repeated major earthquakes and associated geomorphic and vegetation disturbances in Papua New Guinea. Although all of these ecosystem perturbations and shifts are individually recognized, they are not embraced in contemporary sustainable decision making.","DOI":"10.1073/pnas.1302328110","ISSN":"0027-8424, 1091-6490","note":"PMID: 23686583","shortTitle":"Broader perspective on ecosystem sustainability","journalAbbreviation":"PNAS","language":"en","author":[{"family":"Sidle","given":"Roy C."},{"family":"Benson","given":"William H."},{"family":"Carriger","given":"John F."},{"family":"Kamai","given":"Toshitaka"}],"issued":{"date-parts":[["2013",6,4]]},"PMID":"23686583"}}],"schema":"https://github.com/citation-style-language/schema/raw/master/csl-citation.json"} </w:instrText>
      </w:r>
      <w:r>
        <w:fldChar w:fldCharType="separate"/>
      </w:r>
      <w:r w:rsidRPr="00173866">
        <w:rPr>
          <w:vertAlign w:val="superscript"/>
        </w:rPr>
        <w:t>4–6</w:t>
      </w:r>
      <w:r>
        <w:fldChar w:fldCharType="end"/>
      </w:r>
      <w:r>
        <w:t>. Therefore, investing in the prevention of invasions can be considered investment in the protection of the benefits to humanity provided by ecosystem services. However, the lack of valuations of the damages to ecosystem services due to invasion leaves policymakers with little to no information by which to weigh the trade-offs of such investments</w:t>
      </w:r>
      <w:r>
        <w:fldChar w:fldCharType="begin"/>
      </w:r>
      <w:r>
        <w:instrText xml:space="preserve"> ADDIN ZOTERO_ITEM CSL_CITATION {"citationID":"RL6JHcgL","properties":{"formattedCitation":"{\\rtf \\super 7\\uc0\\u8211{}9\\nosupersub{}}","plainCitation":"7–9"},"citationItems":[{"id":1649,"uris":["http://zotero.org/users/905549/items/EIK469MJ"],"uri":["http://zotero.org/users/905549/items/EIK469MJ"],"itemData":{"id":1649,"type":"article-journal","title":"Securing natural capital and expanding equity to rescale civilization","container-title":"Nature","page":"68-73","volume":"486","issue":"7401","source":"www.nature.com","abstract":"In biophysical terms, humanity has never been moving faster nor further from sustainability than it is now. Our increasing population size and per capita impacts are severely testing the ability of Earth to provide for peoples/' most basic needs. Awareness of these circumstances has grown tremendously, as has the sophistication of efforts to address them. But the complexity of the challenge remains daunting. We explore prospects for transformative change in three critical areas of sustainable development: achieving a sustainable population size and securing vital natural capital, both in part through reducing inequity, and strengthening the societal leadership of academia.","DOI":"10.1038/nature11157","ISSN":"0028-0836","journalAbbreviation":"Nature","language":"en","author":[{"family":"Ehrlich","given":"Paul R."},{"family":"Kareiva","given":"Peter M."},{"family":"Daily","given":"Gretchen C."}],"issued":{"date-parts":[["2012",6,7]]}}},{"id":1740,"uris":["http://zotero.org/users/905549/items/N8UF3QXM"],"uri":["http://zotero.org/users/905549/items/N8UF3QXM"],"itemData":{"id":1740,"type":"article-journal","title":"Setting the bar: Standards for ecosystem services","container-title":"Proceedings of the National Academy of Sciences","page":"7356-7361","volume":"112","issue":"24","source":"www.pnas.org","abstract":"Progress in ecosystem service science has been rapid, and there is now a healthy appetite among key public and private sector decision makers for this science. However, changing policy and management is a long-term project, one that raises a number of specific practical challenges. One impediment to broad adoption of ecosystem service information is the lack of standards that define terminology, acceptable data and methods, and reporting requirements. Ecosystem service standards should be tailored to specific use contexts, such as national income and wealth accounts, corporate sustainability reporting, land-use planning, and environmental impact assessments. Many standard-setting organizations already exist, and the research community will make the most headway toward rapid uptake of ecosystem service science by working directly with these organizations. Progress has been made in aligning with existing organizations in areas such as product certification and sustainability reporting, but a major challenge remains in mainstreaming ecosystem service information into core public and private use contexts, such as agricultural and energy subsidy design, national income accounts, and corporate accounts.","DOI":"10.1073/pnas.1406490112","ISSN":"0027-8424, 1091-6490","note":"PMID: 26082540","shortTitle":"Setting the bar","journalAbbreviation":"PNAS","language":"en","author":[{"family":"Polasky","given":"Stephen"},{"family":"Tallis","given":"Heather"},{"family":"Reyers","given":"Belinda"}],"issued":{"date-parts":[["2015",6,16]]},"PMID":"26082540"}},{"id":89,"uris":["http://zotero.org/users/905549/items/4JE28V8S"],"uri":["http://zotero.org/users/905549/items/4JE28V8S"],"itemData":{"id":89,"type":"article-journal","title":"A management framework for preventing the secondary spread of aquatic   invasive species RID A-8535-2010","container-title":"Canadian Journal of Fisheries and Aquatic Sciences","page":"1512-1522","volume":"65","issue":"7","source":"ISI Web of Knowledge","abstract":"Biological invasions continue to accelerate, and there is a need for   closer integration between invasive species research and on-the-ground   management. In many regions, aquatic invasive species have established   isolated populations, but have not yet spread to many sites that provide   suitable habitat. In the Laurentian Great Lakes region, several Great   Lakes invaders such as zebra mussel (Dreissena polymorpha), rainbow   smelt (Osmerus mordax), and spiny water flea (Bythotrephes longimanus)   are currently undergoing secondary spread to the smaller inland lakes   and streams. This paper describes recent advances in forecasting the   secondary spread of aquatic invasive species and presents a framework   for assessing vulnerability of inland waters based on explicit   assessment of three distinct aspects of biological invasions:   colonization, site suitability, and adverse impact. In many cases, only   a fraction of lakes on the landscape are vulnerable to specific invasive   species, highlighting the potential application of this type of research   for improving invasive species management. Effective application to   on-the-ground resource management will require that research aimed at   assessing site vulnerability be translated into management tools.","DOI":"10.1139/F08-099","ISSN":"0706-652X","note":"WOS:000257359100024","journalAbbreviation":"Can. J. Fish. Aquat. Sci.","language":"English","author":[{"family":"Zanden","given":"M. Jake","non-dropping-particle":"Vander"},{"family":"Olden","given":"Julian D."}],"issued":{"date-parts":[["2008",7]]}}}],"schema":"https://github.com/citation-style-language/schema/raw/master/csl-citation.json"} </w:instrText>
      </w:r>
      <w:r>
        <w:fldChar w:fldCharType="separate"/>
      </w:r>
      <w:r w:rsidRPr="004B612B">
        <w:rPr>
          <w:vertAlign w:val="superscript"/>
        </w:rPr>
        <w:t>7–9</w:t>
      </w:r>
      <w:r>
        <w:fldChar w:fldCharType="end"/>
      </w:r>
      <w:r>
        <w:t>.</w:t>
      </w:r>
    </w:p>
    <w:p w14:paraId="33A0BB0C" w14:textId="77777777" w:rsidR="00EE5247" w:rsidRPr="00830728" w:rsidRDefault="00EE5247" w:rsidP="00EE5247">
      <w:pPr>
        <w:spacing w:line="480" w:lineRule="auto"/>
      </w:pPr>
      <w:r>
        <w:tab/>
        <w:t>Freshwater ecosystems are a cornerstone of human society, providing drinking water, fisheries, pollution dilution, recreation, and other goods and services</w:t>
      </w:r>
      <w:r>
        <w:fldChar w:fldCharType="begin"/>
      </w:r>
      <w:r>
        <w:instrText xml:space="preserve"> ADDIN ZOTERO_ITEM CSL_CITATION {"citationID":"2p5a9lii3u","properties":{"formattedCitation":"{\\rtf \\super 10\\nosupersub{}}","plainCitation":"10"},"citationItems":[{"id":1763,"uris":["http://zotero.org/users/905549/items/DEBSUQ2M"],"uri":["http://zotero.org/users/905549/items/DEBSUQ2M"],"itemData":{"id":1763,"type":"article-journal","title":"Millennium ecosystem assessment. Ecosystems and human well-being: Biodiversity synthesis. (2005) World Resources Institute, Washington, DC.","container-title":"Ecological Management &amp; Restoration","page":"226-227","volume":"6","issue":"3","source":"Web of Science","shortTitle":"Millennium ecosystem assessment. Ecosystems and human well-being","language":"English","issued":{"date-parts":[["2005",12]]}}}],"schema":"https://github.com/citation-style-language/schema/raw/master/csl-citation.json"} </w:instrText>
      </w:r>
      <w:r>
        <w:fldChar w:fldCharType="separate"/>
      </w:r>
      <w:r w:rsidRPr="00173866">
        <w:rPr>
          <w:vertAlign w:val="superscript"/>
        </w:rPr>
        <w:t>10</w:t>
      </w:r>
      <w:r>
        <w:fldChar w:fldCharType="end"/>
      </w:r>
      <w:r>
        <w:t>. Valuation of these services is critical for public policy, but many of the services provided by freshwater ecosystems are not monetized</w:t>
      </w:r>
      <w:r>
        <w:fldChar w:fldCharType="begin"/>
      </w:r>
      <w:r>
        <w:instrText xml:space="preserve"> ADDIN ZOTERO_ITEM CSL_CITATION {"citationID":"b7kOb3bk","properties":{"formattedCitation":"{\\rtf \\super 8,11\\nosupersub{}}","plainCitation":"8,11"},"citationItems":[{"id":1740,"uris":["http://zotero.org/users/905549/items/N8UF3QXM"],"uri":["http://zotero.org/users/905549/items/N8UF3QXM"],"itemData":{"id":1740,"type":"article-journal","title":"Setting the bar: Standards for ecosystem services","container-title":"Proceedings of the National Academy of Sciences","page":"7356-7361","volume":"112","issue":"24","source":"www.pnas.org","abstract":"Progress in ecosystem service science has been rapid, and there is now a healthy appetite among key public and private sector decision makers for this science. However, changing policy and management is a long-term project, one that raises a number of specific practical challenges. One impediment to broad adoption of ecosystem service information is the lack of standards that define terminology, acceptable data and methods, and reporting requirements. Ecosystem service standards should be tailored to specific use contexts, such as national income and wealth accounts, corporate sustainability reporting, land-use planning, and environmental impact assessments. Many standard-setting organizations already exist, and the research community will make the most headway toward rapid uptake of ecosystem service science by working directly with these organizations. Progress has been made in aligning with existing organizations in areas such as product certification and sustainability reporting, but a major challenge remains in mainstreaming ecosystem service information into core public and private use contexts, such as agricultural and energy subsidy design, national income accounts, and corporate accounts.","DOI":"10.1073/pnas.1406490112","ISSN":"0027-8424, 1091-6490","note":"PMID: 26082540","shortTitle":"Setting the bar","journalAbbreviation":"PNAS","language":"en","author":[{"family":"Polasky","given":"Stephen"},{"family":"Tallis","given":"Heather"},{"family":"Reyers","given":"Belinda"}],"issued":{"date-parts":[["2015",6,16]]},"PMID":"26082540"}},{"id":1653,"uris":["http://zotero.org/users/905549/items/BF7HMKHP"],"uri":["http://zotero.org/users/905549/items/BF7HMKHP"],"itemData":{"id":1653,"type":"article-journal","title":"Economic Valuation of Freshwater Ecosystem Services in the United States: 1971-1997","container-title":"Ecological Applications","page":"772-783","volume":"9","issue":"3","source":"JSTOR","abstract":"The purpose of this paper is to provide ecologists and resource managers with a sense of where the economic science of ecosystem valuation has come from and where it might go in the future. To accomplish this, the paper provides a comprehensive synthesis of peer-reviewed economic data on surface freshwater ecosystems in the United States and examines major accomplishments and gaps in the literature. Economic value has been assigned to nonmarket goods and services provided by surface freshwater systems in the United States by 30 published, refereed articles in the scientific literature from 1971 to 1997. These studies have used variations of three approaches for a quantitative assessment of economic value: travel cost methods, hedonic pricing methods, and contingent valuation methods. To determine the economic value of nonmarket ecosystem goods and services, each method focuses on a different aspect of social benefit associated with lakes, streams, rivers, and wetlands. Valuation methodologies work from different underlying assumptions while possessing unique limitations and uncertainties. Dollar benefit estimates derived for nonmarket freshwater ecosystem goods and services from these studies tend to be specific to a particular method, ecosystem, and socioeconomic circumstance. Creative interdisciplinary research is needed on the quantitative measurement of surface freshwater ecosystem goods and service values, the relation of these values to key limnological variates, and communication of limnological insights to the public and social scientists in ways that facilitate and improve future management and research.","DOI":"10.2307/2641328","ISSN":"1051-0761","shortTitle":"Economic Valuation of Freshwater Ecosystem Services in the United States","journalAbbreviation":"Ecological Applications","author":[{"family":"Wilson","given":"Matthew A."},{"family":"Carpenter","given":"Stephen R."}],"issued":{"date-parts":[["1999",8,1]]}}}],"schema":"https://github.com/citation-style-language/schema/raw/master/csl-citation.json"} </w:instrText>
      </w:r>
      <w:r>
        <w:fldChar w:fldCharType="separate"/>
      </w:r>
      <w:r w:rsidRPr="002E06B9">
        <w:rPr>
          <w:vertAlign w:val="superscript"/>
        </w:rPr>
        <w:t>8,11</w:t>
      </w:r>
      <w:r>
        <w:fldChar w:fldCharType="end"/>
      </w:r>
      <w:r>
        <w:t>, leaving them overlooked and undervalued and thus poorly integrated into decision frameworks</w:t>
      </w:r>
      <w:r>
        <w:fldChar w:fldCharType="begin"/>
      </w:r>
      <w:r>
        <w:instrText xml:space="preserve"> ADDIN ZOTERO_ITEM CSL_CITATION {"citationID":"bkmsXPlm","properties":{"formattedCitation":"{\\rtf \\super 1,6\\nosupersub{}}","plainCitation":"1,6"},"citationItems":[{"id":1729,"uris":["http://zotero.org/users/905549/items/X8CU8S3S"],"uri":["http://zotero.org/users/905549/items/X8CU8S3S"],"itemData":{"id":1729,"type":"article-journal","title":"Natural capital and ecosystem services informing decisions: From promise to practice","container-title":"Proceedings of the National Academy of Sciences","page":"7348-7355","volume":"112","issue":"24","source":"www.pnas.org","abstract":"The central challenge of the 21st century is to develop economic, social, and governance systems capable of ending poverty and achieving sustainable levels of population and consumption while securing the life-support systems underpinning current and future human well-being. Essential to meeting this challenge is the incorporation of natural capital and the ecosystem services it provides into decision-making. We explore progress and crucial gaps at this frontier, reflecting upon the 10 y since the Millennium Ecosystem Assessment. We focus on three key dimensions of progress and ongoing challenges: raising awareness of the interdependence of ecosystems and human well-being, advancing the fundamental interdisciplinary science of ecosystem services, and implementing this science in decisions to restore natural capital and use it sustainably. Awareness of human dependence on nature is at an all-time high, the science of ecosystem services is rapidly advancing, and talk of natural capital is now common from governments to corporate boardrooms. However, successful implementation is still in early stages. We explore why ecosystem service information has yet to fundamentally change decision-making and suggest a path forward that emphasizes: (i) developing solid evidence linking decisions to impacts on natural capital and ecosystem services, and then to human well-being; (ii) working closely with leaders in government, business, and civil society to develop the knowledge, tools, and practices necessary to integrate natural capital and ecosystem services into everyday decision-making; and (iii) reforming institutions to change policy and practices to better align private short-term goals with societal long-term goals.","DOI":"10.1073/pnas.1503751112","ISSN":"0027-8424, 1091-6490","note":"PMID: 26082539","shortTitle":"Natural capital and ecosystem services informing decisions","journalAbbreviation":"PNAS","language":"en","author":[{"family":"Guerry","given":"Anne D."},{"family":"Polasky","given":"Stephen"},{"family":"Lubchenco","given":"Jane"},{"family":"Chaplin-Kramer","given":"Rebecca"},{"family":"Daily","given":"Gretchen C."},{"family":"Griffin","given":"Robert"},{"family":"Ruckelshaus","given":"Mary"},{"family":"Bateman","given":"Ian J."},{"family":"Duraiappah","given":"Anantha"},{"family":"Elmqvist","given":"Thomas"},{"family":"Feldman","given":"Marcus W."},{"family":"Folke","given":"Carl"},{"family":"Hoekstra","given":"Jon"},{"family":"Kareiva","given":"Peter M."},{"family":"Keeler","given":"Bonnie L."},{"family":"Li","given":"Shuzhuo"},{"family":"McKenzie","given":"Emily"},{"family":"Ouyang","given":"Zhiyun"},{"family":"Reyers","given":"Belinda"},{"family":"Ricketts","given":"Taylor H."},{"family":"Rockström","given":"Johan"},{"family":"Tallis","given":"Heather"},{"family":"Vira","given":"Bhaskar"}],"issued":{"date-parts":[["2015",6,16]]},"PMID":"26082539"}},{"id":1748,"uris":["http://zotero.org/users/905549/items/HF38QNZQ"],"uri":["http://zotero.org/users/905549/items/HF38QNZQ"],"itemData":{"id":1748,"type":"article-journal","title":"Broader perspective on ecosystem sustainability: Consequences for decision making","container-title":"Proceedings of the National Academy of Sciences","page":"9201-9208","volume":"110","issue":"23","source":"www.pnas.org","abstract":"Although the concept of ecosystem sustainability has a long-term focus, it is often viewed from a static system perspective. Because most ecosystems are dynamic, we explore sustainability assessments from three additional perspectives: resilient systems; systems where tipping points occur; and systems subject to episodic resetting. Whereas foundations of ecosystem resilience originated in ecology, recent discussions have focused on geophysical attributes, and it is recognized that dynamic system components may not return to their former state following perturbations. Tipping points emerge when chronic changes (typically anthropogenic, but sometimes natural) push ecosystems to thresholds that cause collapse of process and function and may become permanent. Ecosystem resetting occurs when episodic natural disasters breach thresholds with little or no warning, resulting in long-term changes to environmental attributes or ecosystem function. An example of sustainability assessment of ecosystem goods and services along the Gulf Coast (USA) demonstrates the need to include both the resilient and dynamic nature of biogeomorphic components. Mountain road development in northwest Yunnan, China, makes rivers and related habitat vulnerable to tipping points. Ecosystems reset by natural disasters are also presented, emphasizing the need to understand the magnitude frequency and interrelationships among major disturbances, as shown by (i) the 2011 Great East Japan Earthquake and resulting tsunami, including how unsustainable urban development exacerbates geodisaster propagation, and (ii) repeated major earthquakes and associated geomorphic and vegetation disturbances in Papua New Guinea. Although all of these ecosystem perturbations and shifts are individually recognized, they are not embraced in contemporary sustainable decision making.","DOI":"10.1073/pnas.1302328110","ISSN":"0027-8424, 1091-6490","note":"PMID: 23686583","shortTitle":"Broader perspective on ecosystem sustainability","journalAbbreviation":"PNAS","language":"en","author":[{"family":"Sidle","given":"Roy C."},{"family":"Benson","given":"William H."},{"family":"Carriger","given":"John F."},{"family":"Kamai","given":"Toshitaka"}],"issued":{"date-parts":[["2013",6,4]]},"PMID":"23686583"}}],"schema":"https://github.com/citation-style-language/schema/raw/master/csl-citation.json"} </w:instrText>
      </w:r>
      <w:r>
        <w:fldChar w:fldCharType="separate"/>
      </w:r>
      <w:r w:rsidRPr="00173866">
        <w:rPr>
          <w:vertAlign w:val="superscript"/>
        </w:rPr>
        <w:t>1,6</w:t>
      </w:r>
      <w:r>
        <w:fldChar w:fldCharType="end"/>
      </w:r>
      <w:r>
        <w:t>. One such service is water quality of lakes and reservoirs which is degraded by phosphorus pollution</w:t>
      </w:r>
      <w:r>
        <w:fldChar w:fldCharType="begin"/>
      </w:r>
      <w:r>
        <w:instrText xml:space="preserve"> ADDIN ZOTERO_ITEM CSL_CITATION {"citationID":"1j84o7n8ia","properties":{"formattedCitation":"{\\rtf \\super 12\\nosupersub{}}","plainCitation":"12"},"citationItems":[{"id":7,"uris":["http://zotero.org/users/905549/items/RIVZA3GI"],"uri":["http://zotero.org/users/905549/items/RIVZA3GI"],"itemData":{"id":7,"type":"article-journal","title":"State of the World's Freshwater Ecosystems: Physical, Chemical, and Biological Changes","container-title":"Annual Review of Environment and Resources","page":"75-99","volume":"36","issue":"1","source":"CrossRef","DOI":"10.1146/annurev-environ-021810-094524","ISSN":"1543-5938, 1545-2050","shortTitle":"State of the World's Freshwater Ecosystems","author":[{"family":"Carpenter","given":"Stephen R."},{"family":"Stanley","given":"Emily H."},{"family":"Zanden","given":"M. Jake","non-dropping-particle":"Vander"}],"issued":{"date-parts":[["2011",11,21]]}}}],"schema":"https://github.com/citation-style-language/schema/raw/master/csl-citation.json"} </w:instrText>
      </w:r>
      <w:r>
        <w:fldChar w:fldCharType="separate"/>
      </w:r>
      <w:r w:rsidRPr="002E06B9">
        <w:rPr>
          <w:vertAlign w:val="superscript"/>
        </w:rPr>
        <w:t>12</w:t>
      </w:r>
      <w:r>
        <w:fldChar w:fldCharType="end"/>
      </w:r>
      <w:r>
        <w:t xml:space="preserve">. </w:t>
      </w:r>
      <w:r w:rsidRPr="003B46BF">
        <w:rPr>
          <w:i/>
        </w:rPr>
        <w:t>Daphnia</w:t>
      </w:r>
      <w:r>
        <w:t>, a genus of freshwater zooplankton, moderate water quality by filtering out algae</w:t>
      </w:r>
      <w:r>
        <w:fldChar w:fldCharType="begin"/>
      </w:r>
      <w:r>
        <w:instrText xml:space="preserve"> ADDIN ZOTERO_ITEM CSL_CITATION {"citationID":"2b3c9i9q8k","properties":{"formattedCitation":"{\\rtf \\super 13\\nosupersub{}}","plainCitation":"13"},"citationItems":[{"id":1733,"uris":["http://zotero.org/users/905549/items/XP53QJX8"],"uri":["http://zotero.org/users/905549/items/XP53QJX8"],"itemData":{"id":1733,"type":"article-journal","title":"Biomanipulation as an Application of Food-Chain Theory: Constraints, Synthesis, and Recommendations for Temperate Lakes","container-title":"Ecosystems","page":"558-574","volume":"1","issue":"6","source":"link.springer.com","DOI":"10.1007/s100219900051","ISSN":"1432-9840","shortTitle":"Biomanipulation as an Application of Food-Chain Theory","journalAbbreviation":"Ecosystems","language":"en","author":[{"family":"Hansson","given":"Lars-Anders"},{"family":"Annadotter","given":"Helene"},{"family":"Bergman","given":"Eva"},{"family":"Hamrin","given":"Stellan F."},{"family":"Jeppesen","given":"Erik"},{"family":"Kairesalo","given":"Timo"},{"family":"Luokkanen","given":"Eira"},{"family":"Nilsson","given":"Per-Åke"},{"family":"Søndergaard","given":"Martin"},{"family":"Strand","given":"John"}],"issued":{"date-parts":[["1998",11]]}}}],"schema":"https://github.com/citation-style-language/schema/raw/master/csl-citation.json"} </w:instrText>
      </w:r>
      <w:r>
        <w:fldChar w:fldCharType="separate"/>
      </w:r>
      <w:r w:rsidRPr="002E06B9">
        <w:rPr>
          <w:vertAlign w:val="superscript"/>
        </w:rPr>
        <w:t>13</w:t>
      </w:r>
      <w:r>
        <w:fldChar w:fldCharType="end"/>
      </w:r>
      <w:r>
        <w:t xml:space="preserve">. Accordingly, lakes are often managed to support large </w:t>
      </w:r>
      <w:r w:rsidRPr="008B3750">
        <w:rPr>
          <w:i/>
        </w:rPr>
        <w:t>Daphnia</w:t>
      </w:r>
      <w:r>
        <w:t xml:space="preserve"> populations by reducing the abundance of their predators</w:t>
      </w:r>
      <w:r>
        <w:fldChar w:fldCharType="begin"/>
      </w:r>
      <w:r>
        <w:instrText xml:space="preserve"> ADDIN ZOTERO_ITEM CSL_CITATION {"citationID":"1q0il9jlul","properties":{"formattedCitation":"{\\rtf \\super 14\\nosupersub{}}","plainCitation":"14"},"citationItems":[{"id":1760,"uris":["http://zotero.org/users/905549/items/V4UB33T6"],"uri":["http://zotero.org/users/905549/items/V4UB33T6"],"itemData":{"id":1760,"type":"article-journal","title":"What is the influence of a reduction of planktivorous and benthivorous fish on water quality in temperate eutrophic lakes? A systematic review","container-title":"Environmental Evidence","page":"7","volume":"4","issue":"1","source":"www.environmentalevidencejournal.org","DOI":"10.1186/s13750-015-0032-9","ISSN":"2047-2382","shortTitle":"What is the influence of a reduction of planktivorous and benthivorous fish on water quality in temperate eutrophic lakes?","language":"en","author":[{"family":"Bernes","given":"Claes"},{"family":"Carpenter","given":"Stephen R."},{"family":"Gårdmark","given":"Anna"},{"family":"Larsson","given":"Per"},{"family":"Persson","given":"Lennart"},{"family":"Skov","given":"Christian"},{"family":"Speed","given":"James DM"},{"family":"Donk","given":"Ellen Van"}],"issued":{"date-parts":[["2015",5,22]]}}}],"schema":"https://github.com/citation-style-language/schema/raw/master/csl-citation.json"} </w:instrText>
      </w:r>
      <w:r>
        <w:fldChar w:fldCharType="separate"/>
      </w:r>
      <w:r w:rsidRPr="002E06B9">
        <w:rPr>
          <w:vertAlign w:val="superscript"/>
        </w:rPr>
        <w:t>14</w:t>
      </w:r>
      <w:r>
        <w:fldChar w:fldCharType="end"/>
      </w:r>
      <w:r>
        <w:t>.</w:t>
      </w:r>
    </w:p>
    <w:p w14:paraId="3834938D" w14:textId="77777777" w:rsidR="00EE5247" w:rsidRDefault="00EE5247" w:rsidP="00EE5247">
      <w:pPr>
        <w:spacing w:line="480" w:lineRule="auto"/>
      </w:pPr>
      <w:r>
        <w:tab/>
        <w:t xml:space="preserve">The invasive spiny water flea (SWF), </w:t>
      </w:r>
      <w:r>
        <w:rPr>
          <w:i/>
        </w:rPr>
        <w:t>Bythotrephes longimanus</w:t>
      </w:r>
      <w:r>
        <w:t>, is a voracious zooplanktivore that has the capacity to consume more zooplankton than fish and other invertebrate planktivores combined</w:t>
      </w:r>
      <w:r>
        <w:fldChar w:fldCharType="begin"/>
      </w:r>
      <w:r>
        <w:instrText xml:space="preserve"> ADDIN ZOTERO_ITEM CSL_CITATION {"citationID":"ina7bfelu","properties":{"formattedCitation":"{\\rtf \\super 15\\nosupersub{}}","plainCitation":"15"},"citationItems":[{"id":53,"uris":["http://zotero.org/users/905549/items/QZ3ISIAR"],"uri":["http://zotero.org/users/905549/items/QZ3ISIAR"],"itemData":{"id":53,"type":"article-journal","title":"Planktivory in the changing Lake Huron zooplankton community:   Bythotrephes consumption exceeds that of Mysis and fish","container-title":"Freshwater Biology","page":"1281-1296","volume":"56","issue":"7","source":"ISI Web of Knowledge","abstract":"1. Oligotrophic lakes are generally dominated by calanoid copepods   because of their competitive advantage over cladocerans at low prey   densities. Planktivory also can alter zooplankton community structure.   We sought to understand the role of planktivory in driving recent   changes to the zooplankton community of Lake Huron, a large oligotrophic   lake on the border of Canada and the United States. We tested the   hypothesis that excessive predation by fish (rainbow smelt Osmerus   mordax, bloater Coregonus hoyi) and invertebrates (Mysis relicta,   Bythotrephes longimanus) had driven observed declines in cladoceran and   cyclopoid copepod biomass between 2002 and 2007.   2. We used a field sampling and bioenergetics modelling approach to   generate estimates of daily consumption by planktivores at two 91-m   depth sites in northern Lake Huron, U. S. A., for each month,   May-October 2007. Daily consumption was compared to daily zooplankton   production.   3. Bythotrephes was the dominant planktivore and estimated to have eaten   78% of all zooplankton consumed. Bythotrephes consumption exceeded total   zooplankton production between July and October. Mysis consumed 19% of   all the zooplankton consumed and exceeded zooplankton production in   October. Consumption by fish was relatively unimportant - eating only 3%   of all zooplankton consumed.   4. Because Bythotrephes was so important, we explored other consumption   estimation methods that predict lower Bythotrephes consumption. Under   this scenario, Mysis was the most important planktivore, and   Bythotrephes consumption exceeded zooplankton production only in August.   5. Our results provide no support for the hypothesis that excessive fish   consumption directly contributed to the decline of cladocerans and   cyclopoid copepods in Lake Huron. Rather, they highlight the importance   of invertebrate planktivores in structuring zooplankton communities,   especially for those foods webs that have both Bythotrephes and Mysis.   Together, these species occupy the epi-, meta- and hypolimnion, leaving   limited refuge for zooplankton prey.","DOI":"10.1111/j.1365-2427.2010.02568.x","ISSN":"0046-5070","note":"WOS:000292407000004","shortTitle":"Planktivory in the changing Lake Huron zooplankton community","journalAbbreviation":"Freshw. Biol.","language":"English","author":[{"family":"Bunnell","given":"David B."},{"family":"Davis","given":"Bruce M."},{"family":"Warner","given":"David M."},{"family":"Chriscinske","given":"Margret A."},{"family":"Roseman","given":"Edward F."}],"issued":{"date-parts":[["2011",7]]}}}],"schema":"https://github.com/citation-style-language/schema/raw/master/csl-citation.json"} </w:instrText>
      </w:r>
      <w:r>
        <w:fldChar w:fldCharType="separate"/>
      </w:r>
      <w:r w:rsidRPr="00F34157">
        <w:rPr>
          <w:vertAlign w:val="superscript"/>
        </w:rPr>
        <w:t>15</w:t>
      </w:r>
      <w:r>
        <w:fldChar w:fldCharType="end"/>
      </w:r>
      <w:r>
        <w:t>. Despite this planktivory and large documented ecological impacts on zooplankton communities</w:t>
      </w:r>
      <w:r>
        <w:fldChar w:fldCharType="begin"/>
      </w:r>
      <w:r>
        <w:instrText xml:space="preserve"> ADDIN ZOTERO_ITEM CSL_CITATION {"citationID":"YfMEbhQI","properties":{"formattedCitation":"{\\rtf \\super 16\\nosupersub{}}","plainCitation":"16"},"citationItems":[{"id":27,"uris":["http://zotero.org/users/905549/items/ZFJ79AQ7"],"uri":["http://zotero.org/users/905549/items/ZFJ79AQ7"],"itemData":{"id":27,"type":"article-journal","title":"The spread, establishment and impacts of the spiny water flea, Bythotrephes longimanus, in temperate North America: a synopsis of the special issue","container-title":"Biological Invasions","page":"2423-2432","volume":"13","issue":"11","source":"CrossRef","DOI":"10.1007/s10530-011-0069-9","ISSN":"1387-3547, 1573-1464","shortTitle":"The spread, establishment and impacts of the spiny water flea, Bythotrephes longimanus, in temperate North America","author":[{"family":"Yan","given":"Norman D."},{"family":"Leung","given":"Brian"},{"family":"Lewis","given":"Mark A."},{"family":"Peacor","given":"Scott D."}],"issued":{"date-parts":[["2011",8,12]]}}}],"schema":"https://github.com/citation-style-language/schema/raw/master/csl-citation.json"} </w:instrText>
      </w:r>
      <w:r>
        <w:fldChar w:fldCharType="separate"/>
      </w:r>
      <w:r w:rsidRPr="00F34157">
        <w:rPr>
          <w:vertAlign w:val="superscript"/>
        </w:rPr>
        <w:t>16</w:t>
      </w:r>
      <w:r>
        <w:fldChar w:fldCharType="end"/>
      </w:r>
      <w:r>
        <w:t xml:space="preserve">, SWF has not been </w:t>
      </w:r>
      <w:r>
        <w:lastRenderedPageBreak/>
        <w:t>found to have cascading effects on lake primary production and water clarity</w:t>
      </w:r>
      <w:r>
        <w:fldChar w:fldCharType="begin"/>
      </w:r>
      <w:r>
        <w:instrText xml:space="preserve"> ADDIN ZOTERO_ITEM CSL_CITATION {"citationID":"v1b6hlsug","properties":{"formattedCitation":"{\\rtf \\super 17\\nosupersub{}}","plainCitation":"17"},"citationItems":[{"id":93,"uris":["http://zotero.org/users/905549/items/F3GU8BW7"],"uri":["http://zotero.org/users/905549/items/F3GU8BW7"],"itemData":{"id":93,"type":"article-journal","title":"Invasive predator, Bythotrephes, has varied effects on ecosystem   function in freshwater lakes","container-title":"Ecosystems","page":"490-503","volume":"11","issue":"3","source":"ISI Web of Knowledge","abstract":"Bythotrephes longimanus is an invertebrate predator that has invaded the   North American Great Lakes and a number of inland lakes, where it preys   on crustacean zooplankton. We examined the effect of Bythotrephes on two   measures of ecosystem function during a four-month observational study   of freshwater lakes on the boreal shield. Bythotrephes-invaded lakes had   significantly lower epilimnetic zooplankton abundance and production   compared to reference lakes. On average, Bythotrephes consumed 34% of   zooplankton production when it was present in lakes. There was some   evidence of changes in the timing of zooplankton production, as well as   shifts to cooler, less productive habitats, which may lessen the overall   effect of the invader on the transfer of energy to higher trophic   levels. We experimentally demonstrated a weak trophic cascade where   invader predation reduced zooplankton biomass, and subsequently   increased phytoplankton growth. However, the response was small in   magnitude and not biologically relevant at the whole lake-scale. The   most conspicuous effect of Bythotrephes that we measured was a diversion   of energy away from native predators at higher trophic levels.","DOI":"10.1007/s10021-008-9137-0","ISSN":"1432-9840","note":"WOS:000255537400011","journalAbbreviation":"Ecosystems","language":"English","author":[{"family":"Strecker","given":"Angela L."},{"family":"Arnott","given":"Shelley E."}],"issued":{"date-parts":[["2008",4]]}}}],"schema":"https://github.com/citation-style-language/schema/raw/master/csl-citation.json"} </w:instrText>
      </w:r>
      <w:r>
        <w:fldChar w:fldCharType="separate"/>
      </w:r>
      <w:r w:rsidRPr="00F34157">
        <w:rPr>
          <w:vertAlign w:val="superscript"/>
        </w:rPr>
        <w:t>17</w:t>
      </w:r>
      <w:r>
        <w:fldChar w:fldCharType="end"/>
      </w:r>
      <w:r>
        <w:t>. The lack of cascading effects of SWF invasion is perhaps because the productive lakes most vulnerable to impaired water quality are thought to be relatively unsuitable for SWF establishment</w:t>
      </w:r>
      <w:r>
        <w:fldChar w:fldCharType="begin"/>
      </w:r>
      <w:r>
        <w:instrText xml:space="preserve"> ADDIN ZOTERO_ITEM CSL_CITATION {"citationID":"q2XoJVqK","properties":{"formattedCitation":"{\\rtf \\super 18,19\\nosupersub{}}","plainCitation":"18,19"},"citationItems":[{"id":105,"uris":["http://zotero.org/users/905549/items/AA7J3H7U"],"uri":["http://zotero.org/users/905549/items/AA7J3H7U"],"itemData":{"id":105,"type":"article-journal","title":"Range expansion of Bythotrephes longimanus in North America: Evaluating   habitat characteristics in the spread of an exotic zooplankter","container-title":"Biological Invasions","page":"1367-1379","volume":"8","issue":"6","source":"ISI Web of Knowledge","abstract":"Sedimentary and water column evidence from 45 boat-accessible and eight   backcountry lakes was used to investigate the distribution of   Bythotrephes longimanus in northeast Minnesota, USA, and adjacent   Ontario, Canada. The results expand the documented range of Bythotrephes   in Minnesota from Lake Superior, Island Lake, and Saganaga Lake to Flour   Lake, Greenwood Lake, McFarland Lake, Pine Lake, and Caribou Lake as   well as to Saganagons Lake in Ontario. The latter three lakes are   located in roadless landscapes without motorized boat access. Results   confirm that Bythotrephes is no longer present in Boulder Lake or Fish   Lake (St. Louis County, Minnesota), providing the first evidence of   range compression (extinction following introduction) of this species in   North America. Distributional expansion was confined to a corridor along   the international border between northeast Minnesota and Ontario. Lakes   along the invasion corridor were deeper, more transparent, and had lower   chlorophyll concentration, on average, compared to other lakes studied.   The pattern of range expansion provided an opportunity to test the   predictions of a forecasting model for Bythotrephes occurrence (MacIsaac   et al. 2000 Archiv fur Hydrobiologie 149: 1-21) based on habitat   characteristics. The model predicted 51% of the surveyed inland lakes to   be susceptible to invasion, however, only 13% were actually invaded,   implying strong dispersal constraints. Application of the forecasting   model to a broader set of 179 Minnesota lakes predicted that 41% may be   vulnerable to establishment by Bythotrephes based on habitat   characteristics, offering an estimate of the state's overall lake   susceptibility (i.e., fundamental niche) to invasion. The results of   this study provide evidence for the importance of a low-light refuge   where Bythotrephes can minimize vulnerability to fish predation as a key   habitat feature not considered by the forecasting model.","DOI":"10.1007/s10530-005-5278-7","ISSN":"1387-3547","note":"WOS:000241377700015","shortTitle":"Range expansion of Bythotrephes longimanus in North America","journalAbbreviation":"Biol. Invasions","language":"English","author":[{"family":"Branstrator","given":"Donn K."},{"family":"Brown","given":"Meghan E."},{"family":"Shannon","given":"Lyle J."},{"family":"Thabes","given":"Marte"},{"family":"Heimgartner","given":"Katie"}],"issued":{"date-parts":[["2006",9]]}}},{"id":33,"uris":["http://zotero.org/users/905549/items/T589QGX5"],"uri":["http://zotero.org/users/905549/items/T589QGX5"],"itemData":{"id":33,"type":"article-journal","title":"Models of lake invasibility by Bythotrephes longimanus, a non-indigenous zooplankton","container-title":"Biological Invasions","page":"2459-2476","volume":"13","issue":"11","source":"CrossRef","DOI":"10.1007/s10530-011-0075-y","ISSN":"1387-3547, 1573-1464","author":[{"family":"Potapov","given":"Alex"},{"family":"Muirhead","given":"Jim"},{"family":"Yan","given":"Norman"},{"family":"Lele","given":"Subhash"},{"family":"Lewis","given":"Mark"}],"issued":{"date-parts":[["2011",8,21]]}}}],"schema":"https://github.com/citation-style-language/schema/raw/master/csl-citation.json"} </w:instrText>
      </w:r>
      <w:r>
        <w:fldChar w:fldCharType="separate"/>
      </w:r>
      <w:r w:rsidRPr="00F34157">
        <w:rPr>
          <w:vertAlign w:val="superscript"/>
        </w:rPr>
        <w:t>18,19</w:t>
      </w:r>
      <w:r>
        <w:fldChar w:fldCharType="end"/>
      </w:r>
      <w:r>
        <w:t>.</w:t>
      </w:r>
    </w:p>
    <w:p w14:paraId="540D5A0B" w14:textId="77777777" w:rsidR="00EE5247" w:rsidRDefault="00EE5247" w:rsidP="00EE5247">
      <w:pPr>
        <w:spacing w:line="480" w:lineRule="auto"/>
      </w:pPr>
      <w:r>
        <w:tab/>
        <w:t>SWF was detected in the well-studied urban Lake Mendota in 2009 at some of the highest densities on record (&gt; 1500 m</w:t>
      </w:r>
      <w:r>
        <w:rPr>
          <w:vertAlign w:val="superscript"/>
        </w:rPr>
        <w:t>-3</w:t>
      </w:r>
      <w:r>
        <w:t xml:space="preserve">). The invasion was of immediate concern as a preferred prey of SWF, </w:t>
      </w:r>
      <w:r>
        <w:rPr>
          <w:i/>
        </w:rPr>
        <w:t>Daphnia pulicaria</w:t>
      </w:r>
      <w:r>
        <w:t>, has been the focal point of Lake Mendota’s food web management, supporting the lake’s fishery</w:t>
      </w:r>
      <w:r>
        <w:fldChar w:fldCharType="begin"/>
      </w:r>
      <w:r>
        <w:instrText xml:space="preserve"> ADDIN ZOTERO_ITEM CSL_CITATION {"citationID":"2g333ei0i8","properties":{"formattedCitation":"{\\rtf \\super 20\\nosupersub{}}","plainCitation":"20"},"citationItems":[{"id":16,"uris":["http://zotero.org/users/905549/items/EFNXUWTR"],"uri":["http://zotero.org/users/905549/items/EFNXUWTR"],"itemData":{"id":16,"type":"article-journal","title":"Long-term changes in zooplanktivorous fish community composition: implications for food webs","container-title":"Canadian Journal of Fisheries and Aquatic Sciences","page":"2792-2803","volume":"53","author":[{"family":"Johnson","given":"TB"},{"family":"Kitchell","given":"JF"}],"issued":{"date-parts":[["1996"]]}}}],"schema":"https://github.com/citation-style-language/schema/raw/master/csl-citation.json"} </w:instrText>
      </w:r>
      <w:r>
        <w:fldChar w:fldCharType="separate"/>
      </w:r>
      <w:r w:rsidRPr="00F34157">
        <w:rPr>
          <w:vertAlign w:val="superscript"/>
        </w:rPr>
        <w:t>20</w:t>
      </w:r>
      <w:r>
        <w:fldChar w:fldCharType="end"/>
      </w:r>
      <w:r>
        <w:t xml:space="preserve"> and maintaining clear water through grazing algae</w:t>
      </w:r>
      <w:r>
        <w:fldChar w:fldCharType="begin"/>
      </w:r>
      <w:r>
        <w:instrText xml:space="preserve"> ADDIN ZOTERO_ITEM CSL_CITATION {"citationID":"m2YavE8e","properties":{"formattedCitation":"{\\rtf \\super 21\\nosupersub{}}","plainCitation":"21"},"citationItems":[{"id":393,"uris":["http://zotero.org/users/905549/items/BWUGEVPD"],"uri":["http://zotero.org/users/905549/items/BWUGEVPD"],"itemData":{"id":393,"type":"article-journal","title":"Stocking piscivores to improve fishing and water clarity: a synthesis of the Lake Mendota biomanipulation project","container-title":"Freshwater Biology","page":"2410-2424","volume":"47","author":[{"family":"Lathrop","given":"RC"},{"family":"Johnson","given":"BM"},{"family":"Johnson","given":"TB"},{"family":"Vogelsang","given":"MT"},{"family":"Carpenter","given":"SR"},{"family":"Hrabik","given":"TR"},{"family":"Kitchell","given":"JF"},{"family":"Magnuson","given":"JJ"},{"family":"Rudstam","given":"LG"},{"family":"Stewart","given":"RS"}],"issued":{"date-parts":[["2002"]]}}}],"schema":"https://github.com/citation-style-language/schema/raw/master/csl-citation.json"} </w:instrText>
      </w:r>
      <w:r>
        <w:fldChar w:fldCharType="separate"/>
      </w:r>
      <w:r w:rsidRPr="00F34157">
        <w:rPr>
          <w:vertAlign w:val="superscript"/>
        </w:rPr>
        <w:t>21</w:t>
      </w:r>
      <w:r>
        <w:fldChar w:fldCharType="end"/>
      </w:r>
      <w:r>
        <w:t>. Lake Mendota is located within an agricultural watershed and receives large amounts of phosphorus from farm run-off, driving poor water quality by fertilizing algal growth</w:t>
      </w:r>
      <w:r>
        <w:fldChar w:fldCharType="begin"/>
      </w:r>
      <w:r>
        <w:instrText xml:space="preserve"> ADDIN ZOTERO_ITEM CSL_CITATION {"citationID":"JoCGIdbB","properties":{"formattedCitation":"{\\rtf \\super 22\\nosupersub{}}","plainCitation":"22"},"citationItems":[{"id":1511,"uris":["http://zotero.org/users/905549/items/C36672XJ"],"uri":["http://zotero.org/users/905549/items/C36672XJ"],"itemData":{"id":1511,"type":"article-journal","title":"Water quality implications from three decades of phosphorus loads and trophic dynamics in the Yahara chain of lakes","container-title":"Inland Waters","page":"1-14","volume":"4","issue":"1","source":"ISI Web of Knowledge","abstract":"Trophic responses to phosphorus (P) loads spanning 29-33 years were assessed for the eutrophic Yahara chain of lakes: Mendota (area = 39.6 km(2), mean depth = 12.7 m, flushing rate = 0.23 yr(-1)); Monona (13.7 km(2), 8.3 m, 1.3 yr(-1)); Waubesa (8.5 km(2), 4.7 m, 4.3 yr(-1)); and Kegonsa (13.0 km(2), 5.1 m, 3.0 yr(-1)). During extended drought periods with low P loads, summer (Jul-Aug) total P (TP) concentrations declined substantially in all 4 lakes, with Mendota achieving mesotrophic conditions (&lt;0.024 mg L-1). In years when P loads were high due to major runoff events, summer TP in the lakes was high (especially in shallower Waubesa and Kegonsa); in some summers dissolved inorganic P was elevated, indicating algae growth was not P limited. Summer TP returned to normal levels following both low and high load years, signifying the lakes were responsive to P load changes. The proportion of P input loads passed via a lake's outlet to the next lake downstream increased as flushing rates increased. Because Monona, Waubesa, and Kegonsa received 60, 83, and 76% of their surface water P load from the respective upstream lake's outlet, reducing P loads in Mendota's large watershed was predicted to produce significant water quality benefits downstream. Modeling indicated a significant grazing effect of Daphnia on summer TP and Secchi transparency readings for Mendota and Monona. Finally, using drought loads as targets, our study established P loading reductions needed to improve water quality in all 4 Yahara lakes.","DOI":"10.5268/IW-4.1.680","ISSN":"2044-2041","note":"WOS:000329978100001","journalAbbreviation":"Inland Waters","language":"English","author":[{"family":"Lathrop","given":"Richard C."},{"family":"Carpenter","given":"Stephen R."}],"issued":{"date-parts":[["2014"]]}}}],"schema":"https://github.com/citation-style-language/schema/raw/master/csl-citation.json"} </w:instrText>
      </w:r>
      <w:r>
        <w:fldChar w:fldCharType="separate"/>
      </w:r>
      <w:r w:rsidRPr="00F34157">
        <w:rPr>
          <w:vertAlign w:val="superscript"/>
        </w:rPr>
        <w:t>22</w:t>
      </w:r>
      <w:r>
        <w:fldChar w:fldCharType="end"/>
      </w:r>
      <w:r>
        <w:t xml:space="preserve">. This ecosystem service provided by </w:t>
      </w:r>
      <w:r>
        <w:rPr>
          <w:i/>
        </w:rPr>
        <w:t xml:space="preserve">D. pulicaria </w:t>
      </w:r>
      <w:r>
        <w:t xml:space="preserve">has provided huge economic benefits over the past 27 years, not only affecting shoreline property values on the order of millions of dollars </w:t>
      </w:r>
      <w:r>
        <w:fldChar w:fldCharType="begin"/>
      </w:r>
      <w:r>
        <w:instrText xml:space="preserve"> ADDIN ZOTERO_ITEM CSL_CITATION {"citationID":"pbxKs6GJ","properties":{"formattedCitation":"{\\rtf \\super 23,24\\nosupersub{}}","plainCitation":"23,24"},"citationItems":[{"id":1614,"uris":["http://zotero.org/users/905549/items/HDNM3D24"],"uri":["http://zotero.org/users/905549/items/HDNM3D24"],"itemData":{"id":1614,"type":"report","title":"Water quality affects property prices: a case study of selected Maine lakes. Maine Agricultural and Forest Experiment Station","publisher":"University of Maine, Orono","number":"398","author":[{"family":"Michael","given":"HJ"},{"family":"Boyle","given":"KJ"},{"family":"Bouchard","given":"R"}],"issued":{"date-parts":[["1996"]]}}},{"id":1626,"uris":["http://zotero.org/users/905549/items/25RFDA57"],"uri":["http://zotero.org/users/905549/items/25RFDA57"],"itemData":{"id":1626,"type":"report","title":"Lakeshore property values and water quality: evidence from property sales in the Mississippi headwaters region.","publisher":"Missisippi Headwaters Board","author":[{"family":"Krysel","given":"Charles"},{"family":"Boyer","given":"Elizabeth Marsh"},{"family":"Parson","given":"Charles"},{"family":"Welle","given":"Patrick"}],"issued":{"date-parts":[["2003"]]}}}],"schema":"https://github.com/citation-style-language/schema/raw/master/csl-citation.json"} </w:instrText>
      </w:r>
      <w:r>
        <w:fldChar w:fldCharType="separate"/>
      </w:r>
      <w:r w:rsidRPr="00F34157">
        <w:rPr>
          <w:vertAlign w:val="superscript"/>
        </w:rPr>
        <w:t>23,24</w:t>
      </w:r>
      <w:r>
        <w:fldChar w:fldCharType="end"/>
      </w:r>
      <w:r>
        <w:t xml:space="preserve">, but also providing recreational value to citizens who have been estimated to be willing to pay US$140M present day value for 1 m of water clarity </w:t>
      </w:r>
      <w:r>
        <w:fldChar w:fldCharType="begin"/>
      </w:r>
      <w:r>
        <w:instrText xml:space="preserve"> ADDIN ZOTERO_ITEM CSL_CITATION {"citationID":"2ju78abpuv","properties":{"formattedCitation":"{\\rtf \\super 25\\nosupersub{}}","plainCitation":"25"},"citationItems":[{"id":1629,"uris":["http://zotero.org/users/905549/items/QEBVXSCV"],"uri":["http://zotero.org/users/905549/items/QEBVXSCV"],"itemData":{"id":1629,"type":"article-journal","title":"Nonpoint Source Pollution and Present Values: A Contingent Valuation Study of Lake Mendota","container-title":"Review of Agricultural Economics","page":"120-132","volume":"23","issue":"1","source":"JSTOR","abstract":"A split sample contingent valuation survey was conducted to estimate the aggregate willingness to pay of a group of Wisconsin residents for improving the water quality of a popular recreational lake. Extensive limnological research specific to the lake allowed for a thorough understanding of the relationship between pollutant loading and water quality response, thus making the lake an excellent candidate for a contingent valuation study. Results show that the water quality improvement will provide positive net benefits to the public and that payment time horizon has a significant effect on valuation statements.","ISSN":"1058-7195","shortTitle":"Nonpoint Source Pollution and Present Values","journalAbbreviation":"Review of Agricultural Economics","author":[{"family":"Stumborg","given":"Basil E."},{"family":"Baerenklau","given":"Kenneth A."},{"family":"Bishop","given":"Richard C."}],"issued":{"date-parts":[["2001",4,1]]}}}],"schema":"https://github.com/citation-style-language/schema/raw/master/csl-citation.json"} </w:instrText>
      </w:r>
      <w:r>
        <w:fldChar w:fldCharType="separate"/>
      </w:r>
      <w:r w:rsidRPr="00F34157">
        <w:rPr>
          <w:vertAlign w:val="superscript"/>
        </w:rPr>
        <w:t>25</w:t>
      </w:r>
      <w:r>
        <w:fldChar w:fldCharType="end"/>
      </w:r>
      <w:r>
        <w:t>. Here we evaluate the ecological and economic impacts of the SWF invasion into Lake Mendota and thereby demonstrate significant economic impacts of an invasive species.</w:t>
      </w:r>
    </w:p>
    <w:p w14:paraId="1F443F53" w14:textId="77777777" w:rsidR="00EE5247" w:rsidRDefault="00EE5247" w:rsidP="00EE5247">
      <w:pPr>
        <w:spacing w:line="480" w:lineRule="auto"/>
      </w:pPr>
    </w:p>
    <w:p w14:paraId="183E1923" w14:textId="77777777" w:rsidR="00EE5247" w:rsidRPr="009357B0" w:rsidRDefault="00EE5247" w:rsidP="00EE5247">
      <w:pPr>
        <w:spacing w:line="480" w:lineRule="auto"/>
        <w:rPr>
          <w:b/>
        </w:rPr>
      </w:pPr>
      <w:r>
        <w:rPr>
          <w:b/>
        </w:rPr>
        <w:t>The loss of ecosystem service</w:t>
      </w:r>
    </w:p>
    <w:p w14:paraId="21572038" w14:textId="77777777" w:rsidR="00EE5247" w:rsidRDefault="00EE5247" w:rsidP="00EE5247">
      <w:pPr>
        <w:spacing w:line="480" w:lineRule="auto"/>
      </w:pPr>
      <w:r>
        <w:tab/>
        <w:t xml:space="preserve">Since the detection of SWF in 2009, water clarity in Lake Mendota has declined by 0.9 m (Fig. 1F) alongside a 60% reduction in </w:t>
      </w:r>
      <w:r>
        <w:rPr>
          <w:i/>
        </w:rPr>
        <w:t xml:space="preserve">D. pulicaria </w:t>
      </w:r>
      <w:r>
        <w:t xml:space="preserve">biomass (Fig. 1B). In addition, there was a 37% decrease in total phosphorus (TP) (Fig. 1D) </w:t>
      </w:r>
      <w:r>
        <w:lastRenderedPageBreak/>
        <w:t>despite no clear change in P-loading (Fig.1E), and a 17% increase in total zooplankton biomass (Fig. 1C; 56% increase in non-</w:t>
      </w:r>
      <w:r>
        <w:rPr>
          <w:i/>
        </w:rPr>
        <w:t>D. pulicaria</w:t>
      </w:r>
      <w:r>
        <w:t xml:space="preserve"> grazers). A cascading impact of SWF has not been previously documented </w:t>
      </w:r>
      <w:r>
        <w:fldChar w:fldCharType="begin"/>
      </w:r>
      <w:r>
        <w:instrText xml:space="preserve"> ADDIN ZOTERO_ITEM CSL_CITATION {"citationID":"a55ct4a29","properties":{"formattedCitation":"{\\rtf \\super 17\\nosupersub{}}","plainCitation":"17"},"citationItems":[{"id":93,"uris":["http://zotero.org/users/905549/items/F3GU8BW7"],"uri":["http://zotero.org/users/905549/items/F3GU8BW7"],"itemData":{"id":93,"type":"article-journal","title":"Invasive predator, Bythotrephes, has varied effects on ecosystem   function in freshwater lakes","container-title":"Ecosystems","page":"490-503","volume":"11","issue":"3","source":"ISI Web of Knowledge","abstract":"Bythotrephes longimanus is an invertebrate predator that has invaded the   North American Great Lakes and a number of inland lakes, where it preys   on crustacean zooplankton. We examined the effect of Bythotrephes on two   measures of ecosystem function during a four-month observational study   of freshwater lakes on the boreal shield. Bythotrephes-invaded lakes had   significantly lower epilimnetic zooplankton abundance and production   compared to reference lakes. On average, Bythotrephes consumed 34% of   zooplankton production when it was present in lakes. There was some   evidence of changes in the timing of zooplankton production, as well as   shifts to cooler, less productive habitats, which may lessen the overall   effect of the invader on the transfer of energy to higher trophic   levels. We experimentally demonstrated a weak trophic cascade where   invader predation reduced zooplankton biomass, and subsequently   increased phytoplankton growth. However, the response was small in   magnitude and not biologically relevant at the whole lake-scale. The   most conspicuous effect of Bythotrephes that we measured was a diversion   of energy away from native predators at higher trophic levels.","DOI":"10.1007/s10021-008-9137-0","ISSN":"1432-9840","note":"WOS:000255537400011","journalAbbreviation":"Ecosystems","language":"English","author":[{"family":"Strecker","given":"Angela L."},{"family":"Arnott","given":"Shelley E."}],"issued":{"date-parts":[["2008",4]]}}}],"schema":"https://github.com/citation-style-language/schema/raw/master/csl-citation.json"} </w:instrText>
      </w:r>
      <w:r>
        <w:fldChar w:fldCharType="separate"/>
      </w:r>
      <w:r w:rsidRPr="00F34157">
        <w:rPr>
          <w:vertAlign w:val="superscript"/>
        </w:rPr>
        <w:t>17</w:t>
      </w:r>
      <w:r>
        <w:fldChar w:fldCharType="end"/>
      </w:r>
      <w:r>
        <w:t xml:space="preserve"> and this is an unusually large cascading effect for an invertebrate mesopredator </w:t>
      </w:r>
      <w:r w:rsidRPr="0020593F">
        <w:fldChar w:fldCharType="begin"/>
      </w:r>
      <w:r>
        <w:instrText xml:space="preserve"> ADDIN ZOTERO_ITEM CSL_CITATION {"citationID":"1ntk6q475q","properties":{"formattedCitation":"{\\rtf \\super 26\\nosupersub{}}","plainCitation":"26"},"citationItems":[{"id":266,"uris":["http://zotero.org/users/905549/items/5757EK5M"],"uri":["http://zotero.org/users/905549/items/5757EK5M"],"itemData":{"id":266,"type":"book","title":"Trophic Cascades: Predators, Prey, and the Changing Dynamics of Nature","publisher":"Island Press","number-of-pages":"487","source":"Google Books","abstract":"Trophic cascades—the top-down regulation of ecosystems by predators—are an essential aspect of ecosystem function and well-being. Trophic cascades are often drastically disrupted by human interventions—for example, when wolves and cougars are removed, allowing deer and beaver to become destructive—yet have only recently begun to be considered in the development of conservation and management strategies.   Trophic Cascades is the first comprehensive presentation of the science on this subject. It brings together some of the world’s leading scientists and researchers to explain the importance of large animals in regulating ecosystems, and to relate that scientific knowledge to practical conservation.   Chapters examine trophic cascades across the world’s major biomes, including intertidal habitats, coastal oceans, lakes, nearshore ecosystems, open oceans, tropical forests, boreal and temperate ecosystems, low arctic scrubland, savannas, and islands. Additional chapters consider aboveground/belowground linkages, predation and ecosystem processes, consumer control by megafauna and fire, and alternative states in ecosystems. An introductory chapter offers a concise overview of trophic cascades, while concluding chapters consider theoretical perspectives and comparative issues.   Trophic Cascades provides a scientific basis and justification for the idea that large predators and top-down forcing must be considered in conservation strategies, alongside factors such as habitat preservation and invasive species. It is a groundbreaking work for scientists and managers involved with biodiversity conservation and protection.","ISBN":"978-1-59726-487-7","shortTitle":"Trophic Cascades","language":"en","author":[{"family":"Terborgh","given":"John"},{"family":"Estes","given":"James A."}],"issued":{"date-parts":[["2010",4,20]]}}}],"schema":"https://github.com/citation-style-language/schema/raw/master/csl-citation.json"} </w:instrText>
      </w:r>
      <w:r w:rsidRPr="0020593F">
        <w:fldChar w:fldCharType="separate"/>
      </w:r>
      <w:r w:rsidRPr="00F34157">
        <w:rPr>
          <w:vertAlign w:val="superscript"/>
        </w:rPr>
        <w:t>26</w:t>
      </w:r>
      <w:r w:rsidRPr="0020593F">
        <w:fldChar w:fldCharType="end"/>
      </w:r>
      <w:r w:rsidRPr="0020593F">
        <w:t>.</w:t>
      </w:r>
      <w:r>
        <w:t xml:space="preserve"> It is also striking that water clarity declined despite favorable TP concentrations. </w:t>
      </w:r>
    </w:p>
    <w:p w14:paraId="267BC948" w14:textId="77777777" w:rsidR="00EE5247" w:rsidRDefault="00EE5247" w:rsidP="00EE5247">
      <w:pPr>
        <w:spacing w:line="480" w:lineRule="auto"/>
      </w:pPr>
      <w:r>
        <w:tab/>
        <w:t xml:space="preserve">Though the strongest effects of SWF on </w:t>
      </w:r>
      <w:r>
        <w:rPr>
          <w:i/>
        </w:rPr>
        <w:t xml:space="preserve">D. pulicaria </w:t>
      </w:r>
      <w:r>
        <w:t xml:space="preserve">are observed in the fall, the most surprising observed changes were in the spring. We propose that </w:t>
      </w:r>
      <w:r>
        <w:rPr>
          <w:i/>
        </w:rPr>
        <w:t>D. pulicaria</w:t>
      </w:r>
      <w:r>
        <w:t xml:space="preserve"> are heavily predated by SWF in the fall and</w:t>
      </w:r>
      <w:r>
        <w:rPr>
          <w:i/>
        </w:rPr>
        <w:t xml:space="preserve"> </w:t>
      </w:r>
      <w:r>
        <w:t xml:space="preserve">struggle to make the robust egg bank required to overwinter and re-establish zooplankton community dominance over other grazing zooplankton in the spring. The replacement of </w:t>
      </w:r>
      <w:r>
        <w:rPr>
          <w:i/>
        </w:rPr>
        <w:t xml:space="preserve">D. pulicaria </w:t>
      </w:r>
      <w:r>
        <w:t xml:space="preserve">by smaller grazers </w:t>
      </w:r>
      <w:r w:rsidRPr="004D3342">
        <w:t>like</w:t>
      </w:r>
      <w:r>
        <w:t xml:space="preserve"> </w:t>
      </w:r>
      <w:r>
        <w:rPr>
          <w:i/>
        </w:rPr>
        <w:t>D. galeata mendotae</w:t>
      </w:r>
      <w:r>
        <w:t xml:space="preserve"> and copepods </w:t>
      </w:r>
      <w:r w:rsidRPr="004D3342">
        <w:t>may</w:t>
      </w:r>
      <w:r>
        <w:t xml:space="preserve"> explain why water clarity was lower at all points in the year, but was particularly low in the spring despite low TP. </w:t>
      </w:r>
    </w:p>
    <w:p w14:paraId="75E586D3" w14:textId="77777777" w:rsidR="00EE5247" w:rsidRPr="00FB3D55" w:rsidRDefault="00EE5247" w:rsidP="00EE5247">
      <w:pPr>
        <w:spacing w:line="480" w:lineRule="auto"/>
      </w:pPr>
      <w:r>
        <w:rPr>
          <w:b/>
        </w:rPr>
        <w:tab/>
      </w:r>
      <w:r>
        <w:t>These lingering effects are most obvious in the recent whole-</w:t>
      </w:r>
      <w:r>
        <w:rPr>
          <w:i/>
        </w:rPr>
        <w:t xml:space="preserve">Daphnia </w:t>
      </w:r>
      <w:r>
        <w:t xml:space="preserve">community collapse from 2 September 2014 through 12 May 2015, concurrent with exceptionally high SWF biomass in the fall. This collapse, lasting over 250 days, is the longest absence of </w:t>
      </w:r>
      <w:r w:rsidRPr="00CA7EBD">
        <w:rPr>
          <w:i/>
        </w:rPr>
        <w:t>Daphnia</w:t>
      </w:r>
      <w:r>
        <w:t xml:space="preserve"> spp. in the recorded history of Lake Mendota (since 1976) </w:t>
      </w:r>
      <w:r>
        <w:fldChar w:fldCharType="begin"/>
      </w:r>
      <w:r>
        <w:instrText xml:space="preserve"> ADDIN ZOTERO_ITEM CSL_CITATION {"citationID":"1ma64kcjb7","properties":{"formattedCitation":"{\\rtf \\super 27\\nosupersub{}}","plainCitation":"27"},"citationItems":[{"id":1704,"uris":["http://zotero.org/users/905549/items/QH9B83MV"],"uri":["http://zotero.org/users/905549/items/QH9B83MV"],"itemData":{"id":1704,"type":"post-weblog","title":"Madison Wisconsin Lakes Zooplankton 1976 - 1994 (Dataset)","container-title":"North Temperate Lakes Long-Term Ecological Research","URL":"https://lter.limnology.wisc.edu/dataset/madison-wisonsin-lakes-zooplankton-1976-1994","author":[{"family":"Lathrop","given":"R.C."}],"issued":{"date-parts":[["2015"]]}}}],"schema":"https://github.com/citation-style-language/schema/raw/master/csl-citation.json"} </w:instrText>
      </w:r>
      <w:r>
        <w:fldChar w:fldCharType="separate"/>
      </w:r>
      <w:r w:rsidRPr="00F34157">
        <w:rPr>
          <w:vertAlign w:val="superscript"/>
        </w:rPr>
        <w:t>27</w:t>
      </w:r>
      <w:r>
        <w:fldChar w:fldCharType="end"/>
      </w:r>
      <w:r>
        <w:t xml:space="preserve">, with previous </w:t>
      </w:r>
      <w:r>
        <w:rPr>
          <w:i/>
        </w:rPr>
        <w:t xml:space="preserve">Daphnia </w:t>
      </w:r>
      <w:r>
        <w:t xml:space="preserve">absences lasting a maximum of 14 days and the most recent of any duration occurring in 1989. This collapse led to historically low spring water clarity conditions and a weaker and later clarity maximum driven by </w:t>
      </w:r>
      <w:r>
        <w:rPr>
          <w:i/>
        </w:rPr>
        <w:t>D. galeata mendotae</w:t>
      </w:r>
      <w:r>
        <w:t xml:space="preserve">. An alarming component of the 2014 - 2015 </w:t>
      </w:r>
      <w:r w:rsidRPr="005348FF">
        <w:rPr>
          <w:i/>
        </w:rPr>
        <w:t>Daphnia</w:t>
      </w:r>
      <w:r>
        <w:rPr>
          <w:i/>
        </w:rPr>
        <w:t xml:space="preserve"> </w:t>
      </w:r>
      <w:r>
        <w:t xml:space="preserve">collapse is the disappearance of not only </w:t>
      </w:r>
      <w:r>
        <w:rPr>
          <w:i/>
        </w:rPr>
        <w:t>D.</w:t>
      </w:r>
      <w:r>
        <w:t xml:space="preserve"> </w:t>
      </w:r>
      <w:r>
        <w:rPr>
          <w:i/>
        </w:rPr>
        <w:t>pulicaria</w:t>
      </w:r>
      <w:r>
        <w:t xml:space="preserve"> but also of the smaller </w:t>
      </w:r>
      <w:r>
        <w:rPr>
          <w:i/>
        </w:rPr>
        <w:t>D. galeata mendotae</w:t>
      </w:r>
      <w:r>
        <w:t xml:space="preserve">, which had become more successful after SWF invasion in Lake Mendota. </w:t>
      </w:r>
      <w:r>
        <w:lastRenderedPageBreak/>
        <w:t xml:space="preserve">While not as efficient as a grazer as </w:t>
      </w:r>
      <w:r>
        <w:rPr>
          <w:i/>
        </w:rPr>
        <w:t>D. pulicaria</w:t>
      </w:r>
      <w:r>
        <w:t xml:space="preserve">, </w:t>
      </w:r>
      <w:r>
        <w:rPr>
          <w:i/>
        </w:rPr>
        <w:t xml:space="preserve">D. galeata mendotae </w:t>
      </w:r>
      <w:r>
        <w:t xml:space="preserve">does provide shorter, later clear water maxima and better water clarity relative to smaller, more selective grazers like copepods </w:t>
      </w:r>
      <w:r>
        <w:fldChar w:fldCharType="begin"/>
      </w:r>
      <w:r>
        <w:instrText xml:space="preserve"> ADDIN ZOTERO_ITEM CSL_CITATION {"citationID":"iNo7GnSL","properties":{"formattedCitation":"{\\rtf \\super 21\\nosupersub{}}","plainCitation":"21"},"citationItems":[{"id":393,"uris":["http://zotero.org/users/905549/items/BWUGEVPD"],"uri":["http://zotero.org/users/905549/items/BWUGEVPD"],"itemData":{"id":393,"type":"article-journal","title":"Stocking piscivores to improve fishing and water clarity: a synthesis of the Lake Mendota biomanipulation project","container-title":"Freshwater Biology","page":"2410-2424","volume":"47","author":[{"family":"Lathrop","given":"RC"},{"family":"Johnson","given":"BM"},{"family":"Johnson","given":"TB"},{"family":"Vogelsang","given":"MT"},{"family":"Carpenter","given":"SR"},{"family":"Hrabik","given":"TR"},{"family":"Kitchell","given":"JF"},{"family":"Magnuson","given":"JJ"},{"family":"Rudstam","given":"LG"},{"family":"Stewart","given":"RS"}],"issued":{"date-parts":[["2002"]]}}}],"schema":"https://github.com/citation-style-language/schema/raw/master/csl-citation.json"} </w:instrText>
      </w:r>
      <w:r>
        <w:fldChar w:fldCharType="separate"/>
      </w:r>
      <w:r w:rsidRPr="00F34157">
        <w:rPr>
          <w:vertAlign w:val="superscript"/>
        </w:rPr>
        <w:t>21</w:t>
      </w:r>
      <w:r>
        <w:fldChar w:fldCharType="end"/>
      </w:r>
      <w:r>
        <w:t xml:space="preserve">. To date, the changes in water clarity have been driven by the switch between </w:t>
      </w:r>
      <w:r>
        <w:rPr>
          <w:i/>
        </w:rPr>
        <w:t xml:space="preserve">Daphnia </w:t>
      </w:r>
      <w:r>
        <w:t xml:space="preserve">species. If </w:t>
      </w:r>
      <w:r>
        <w:rPr>
          <w:i/>
        </w:rPr>
        <w:t xml:space="preserve">D. galeata mendotae </w:t>
      </w:r>
      <w:r>
        <w:t>declines in years with high SWF biomass, the changes in water clarity could be more severe in the future.</w:t>
      </w:r>
    </w:p>
    <w:p w14:paraId="01724B49" w14:textId="77777777" w:rsidR="00EE5247" w:rsidRPr="00D64988" w:rsidRDefault="00EE5247" w:rsidP="00EE5247">
      <w:pPr>
        <w:spacing w:line="480" w:lineRule="auto"/>
      </w:pPr>
      <w:r>
        <w:tab/>
        <w:t>Multivariate autoregressive state-space modeling (MARSS)</w:t>
      </w:r>
      <w:r>
        <w:fldChar w:fldCharType="begin"/>
      </w:r>
      <w:r>
        <w:instrText xml:space="preserve"> ADDIN ZOTERO_ITEM CSL_CITATION {"citationID":"2ql42d6cbc","properties":{"formattedCitation":"{\\rtf \\super 28\\nosupersub{}}","plainCitation":"28"},"citationItems":[{"id":1627,"uris":["http://zotero.org/users/905549/items/MT9TFGCD"],"uri":["http://zotero.org/users/905549/items/MT9TFGCD"],"itemData":{"id":1627,"type":"article-journal","title":"MARSS: Multivariate Autoregressive State-space Models for Analyzing Time-series Data","container-title":"R Journal","page":"11-19","volume":"4","issue":"1","source":"Web of Science","abstract":"MARSS is a package for fitting multivariate autoregressive state-space models to time-series data. The MARSS package implements state-space models in a maximum likelihood framework. The core functionality of MARSS is based on likelihood maximization using the Kalman filter/smoother, combined with an EM algorithm. To make comparisons with other packages available, parameter estimation is also permitted via direct search routines available in 'optim'. The MARSS package allows data to contain missing values and allows a wide variety of model structures and constraints to be specified (such as fixed or shared parameters). In addition to model-fitting, the package provides bootstrap routines for simulating data and generating confidence intervals, and multiple options for calculating model selection criteria (such as AIC).","ISSN":"2073-4859","note":"WOS:000313197700003","shortTitle":"MARSS","journalAbbreviation":"R Journal","language":"English","author":[{"family":"Holmes","given":"Elizabeth E."},{"family":"Ward","given":"Eric J."},{"family":"Wills","given":"Kellie"}],"issued":{"date-parts":[["2012",6]]}}}],"schema":"https://github.com/citation-style-language/schema/raw/master/csl-citation.json"} </w:instrText>
      </w:r>
      <w:r>
        <w:fldChar w:fldCharType="separate"/>
      </w:r>
      <w:r w:rsidRPr="00F34157">
        <w:rPr>
          <w:vertAlign w:val="superscript"/>
        </w:rPr>
        <w:t>28</w:t>
      </w:r>
      <w:r>
        <w:fldChar w:fldCharType="end"/>
      </w:r>
      <w:r>
        <w:t xml:space="preserve">, commonly used for measuring the strength and direction of ecological interactions, revealed that higher external phosphorus loading and seasonal surface temperatures have driven lower water clarity and </w:t>
      </w:r>
      <w:r>
        <w:rPr>
          <w:i/>
        </w:rPr>
        <w:t xml:space="preserve">D. pulicaria </w:t>
      </w:r>
      <w:r>
        <w:t xml:space="preserve">biomass has driven higher water clarity over the past two decades in Lake Mendota (Fig. 2). These results are consistent with our previous understanding of the lake’s food web </w:t>
      </w:r>
      <w:r>
        <w:fldChar w:fldCharType="begin"/>
      </w:r>
      <w:r>
        <w:instrText xml:space="preserve"> ADDIN ZOTERO_ITEM CSL_CITATION {"citationID":"SMYkxOIR","properties":{"formattedCitation":"{\\rtf \\super 21\\nosupersub{}}","plainCitation":"21"},"citationItems":[{"id":393,"uris":["http://zotero.org/users/905549/items/BWUGEVPD"],"uri":["http://zotero.org/users/905549/items/BWUGEVPD"],"itemData":{"id":393,"type":"article-journal","title":"Stocking piscivores to improve fishing and water clarity: a synthesis of the Lake Mendota biomanipulation project","container-title":"Freshwater Biology","page":"2410-2424","volume":"47","author":[{"family":"Lathrop","given":"RC"},{"family":"Johnson","given":"BM"},{"family":"Johnson","given":"TB"},{"family":"Vogelsang","given":"MT"},{"family":"Carpenter","given":"SR"},{"family":"Hrabik","given":"TR"},{"family":"Kitchell","given":"JF"},{"family":"Magnuson","given":"JJ"},{"family":"Rudstam","given":"LG"},{"family":"Stewart","given":"RS"}],"issued":{"date-parts":[["2002"]]}}}],"schema":"https://github.com/citation-style-language/schema/raw/master/csl-citation.json"} </w:instrText>
      </w:r>
      <w:r>
        <w:fldChar w:fldCharType="separate"/>
      </w:r>
      <w:r w:rsidRPr="00F34157">
        <w:rPr>
          <w:vertAlign w:val="superscript"/>
        </w:rPr>
        <w:t>21</w:t>
      </w:r>
      <w:r>
        <w:fldChar w:fldCharType="end"/>
      </w:r>
      <w:r>
        <w:t xml:space="preserve">. Due to competition for the algal food source, </w:t>
      </w:r>
      <w:r>
        <w:rPr>
          <w:i/>
        </w:rPr>
        <w:t xml:space="preserve">D. pulicaria </w:t>
      </w:r>
      <w:r>
        <w:t xml:space="preserve">biomass has a negative effect on the total biomass of all other zooplankton species, which do not consume algae fast enough to have an effect on lake water clarity or on </w:t>
      </w:r>
      <w:r>
        <w:rPr>
          <w:i/>
        </w:rPr>
        <w:t>D. pulicaria</w:t>
      </w:r>
      <w:r>
        <w:t xml:space="preserve">. Therefore, the decline in </w:t>
      </w:r>
      <w:r>
        <w:rPr>
          <w:i/>
        </w:rPr>
        <w:t xml:space="preserve">D. pulicaria </w:t>
      </w:r>
      <w:r>
        <w:t>likely</w:t>
      </w:r>
      <w:r>
        <w:rPr>
          <w:i/>
        </w:rPr>
        <w:t xml:space="preserve"> </w:t>
      </w:r>
      <w:r>
        <w:t>explains why total zooplankton biomass increased after the invasion of a predator.</w:t>
      </w:r>
    </w:p>
    <w:p w14:paraId="18BEE219" w14:textId="77777777" w:rsidR="00EE5247" w:rsidRDefault="00EE5247" w:rsidP="00EE5247">
      <w:pPr>
        <w:spacing w:line="480" w:lineRule="auto"/>
      </w:pPr>
    </w:p>
    <w:p w14:paraId="6DF4A3DC" w14:textId="77777777" w:rsidR="00EE5247" w:rsidRPr="009357B0" w:rsidRDefault="00EE5247" w:rsidP="00EE5247">
      <w:pPr>
        <w:spacing w:line="480" w:lineRule="auto"/>
        <w:rPr>
          <w:b/>
        </w:rPr>
      </w:pPr>
      <w:r>
        <w:rPr>
          <w:b/>
        </w:rPr>
        <w:t>Ecological implications</w:t>
      </w:r>
    </w:p>
    <w:p w14:paraId="5D3F1EE7" w14:textId="77777777" w:rsidR="00EE5247" w:rsidRPr="00695286" w:rsidRDefault="00EE5247" w:rsidP="00EE5247">
      <w:pPr>
        <w:spacing w:line="480" w:lineRule="auto"/>
      </w:pPr>
      <w:r>
        <w:tab/>
        <w:t xml:space="preserve">We predicted water clarity under high (pre-2009) and low (post-2009) </w:t>
      </w:r>
      <w:r>
        <w:rPr>
          <w:i/>
        </w:rPr>
        <w:t>D. pulicaria</w:t>
      </w:r>
      <w:r>
        <w:t xml:space="preserve"> biomass (Fig. 3) and under varying P-loading scenarios (-99% to +100%) using our fitted MARSS model (Fig. 3B). To compensate for the loss of grazing and offset the impact of the SWF invasion, we estimate we would have to reduce </w:t>
      </w:r>
      <w:r>
        <w:lastRenderedPageBreak/>
        <w:t xml:space="preserve">external P-loading into the lake by 80% to return to the water clarity with higher </w:t>
      </w:r>
      <w:r>
        <w:rPr>
          <w:i/>
        </w:rPr>
        <w:t xml:space="preserve">D. pulicaria </w:t>
      </w:r>
      <w:r>
        <w:t xml:space="preserve">biomass. Fortunately, </w:t>
      </w:r>
      <w:r>
        <w:rPr>
          <w:i/>
        </w:rPr>
        <w:t xml:space="preserve">D. pulicaria </w:t>
      </w:r>
      <w:r>
        <w:t>was often less abundant in summer months and, thus, efforts to reduce P-loading into the lake will likely be effective in summer months even under the post-2009 regime (Fig. 3A). Furthermore, the water clarity benefits provided by a 50% P-load reduction goal set before 2009 are now more than likely out of reach,  now requiring enormous P-load reductions.</w:t>
      </w:r>
    </w:p>
    <w:p w14:paraId="59915C68" w14:textId="77777777" w:rsidR="00EE5247" w:rsidRDefault="00EE5247" w:rsidP="00EE5247">
      <w:pPr>
        <w:spacing w:line="480" w:lineRule="auto"/>
      </w:pPr>
    </w:p>
    <w:p w14:paraId="3892EF7A" w14:textId="77777777" w:rsidR="00EE5247" w:rsidRPr="009357B0" w:rsidRDefault="00EE5247" w:rsidP="00EE5247">
      <w:pPr>
        <w:spacing w:line="480" w:lineRule="auto"/>
        <w:rPr>
          <w:b/>
        </w:rPr>
      </w:pPr>
      <w:r>
        <w:rPr>
          <w:b/>
        </w:rPr>
        <w:t>Economic implications</w:t>
      </w:r>
    </w:p>
    <w:p w14:paraId="77F9F229" w14:textId="77777777" w:rsidR="00EE5247" w:rsidRDefault="00EE5247" w:rsidP="00EE5247">
      <w:pPr>
        <w:spacing w:line="480" w:lineRule="auto"/>
      </w:pPr>
      <w:r>
        <w:tab/>
        <w:t>To put these ecological implications in economic terms we consulted socio-economic literature regarding Lake Mendota and its watershed. In 2013, Strand Associates estimated the cost of reducing P-loading into Lake Mendota by 50% and 86% over the next 20 years to be US$70.3 M (US$176 per kg P diverted) and US$177 M (US$309 per kg P diverted), respectively</w:t>
      </w:r>
      <w:r>
        <w:fldChar w:fldCharType="begin"/>
      </w:r>
      <w:r>
        <w:instrText xml:space="preserve"> ADDIN ZOTERO_ITEM CSL_CITATION {"citationID":"15qbopgrio","properties":{"formattedCitation":"{\\rtf \\super 29\\nosupersub{}}","plainCitation":"29"},"citationItems":[{"id":1708,"uris":["http://zotero.org/users/905549/items/7DQ7IP5I"],"uri":["http://zotero.org/users/905549/items/7DQ7IP5I"],"itemData":{"id":1708,"type":"report","title":"Yahara CLEAN engineering report","publisher":"Strand Associates, Inc.","publisher-place":"Madison, WI","event-place":"Madison, WI","issued":{"date-parts":[["2013"]]}}}],"schema":"https://github.com/citation-style-language/schema/raw/master/csl-citation.json"} </w:instrText>
      </w:r>
      <w:r>
        <w:fldChar w:fldCharType="separate"/>
      </w:r>
      <w:r w:rsidRPr="00F34157">
        <w:rPr>
          <w:vertAlign w:val="superscript"/>
        </w:rPr>
        <w:t>29</w:t>
      </w:r>
      <w:r>
        <w:fldChar w:fldCharType="end"/>
      </w:r>
      <w:r>
        <w:t xml:space="preserve">. Removing the least cost-efficient P-load reduction options from the maximum implementation plan (86% reduction) to reach a reduction of 80% leaves a cost of US$175M (US$810 per household in Dane County). The report was written with the understanding that </w:t>
      </w:r>
      <w:r>
        <w:rPr>
          <w:i/>
        </w:rPr>
        <w:t xml:space="preserve">D. pulicaria </w:t>
      </w:r>
      <w:r>
        <w:t>would be providing its pre-2009 level of grazing and any benefits of the reduction goals would be on top of this ecosystem service. Our estimate reveals that Madison would have to invest significantly more money to simply return to pre-invasion water clarity and any further improvements to water clarity would have to be made on top of this investment.</w:t>
      </w:r>
    </w:p>
    <w:p w14:paraId="4ACBFCBD" w14:textId="77777777" w:rsidR="00EE5247" w:rsidRDefault="00EE5247" w:rsidP="00EE5247">
      <w:pPr>
        <w:spacing w:line="480" w:lineRule="auto"/>
      </w:pPr>
      <w:r>
        <w:tab/>
        <w:t xml:space="preserve">An additional perspective on this economic impact is offered by the results of Stumborg and others who found that citizens in the region (Dane County, WI) are </w:t>
      </w:r>
      <w:r>
        <w:lastRenderedPageBreak/>
        <w:t>willing to pay US$140M present day value (US$640 per household) for 1 m of water clarity gained by managing the lake</w:t>
      </w:r>
      <w:r>
        <w:fldChar w:fldCharType="begin"/>
      </w:r>
      <w:r>
        <w:instrText xml:space="preserve"> ADDIN ZOTERO_ITEM CSL_CITATION {"citationID":"1ius86jo45","properties":{"formattedCitation":"{\\rtf \\super 25\\nosupersub{}}","plainCitation":"25"},"citationItems":[{"id":1629,"uris":["http://zotero.org/users/905549/items/QEBVXSCV"],"uri":["http://zotero.org/users/905549/items/QEBVXSCV"],"itemData":{"id":1629,"type":"article-journal","title":"Nonpoint Source Pollution and Present Values: A Contingent Valuation Study of Lake Mendota","container-title":"Review of Agricultural Economics","page":"120-132","volume":"23","issue":"1","source":"JSTOR","abstract":"A split sample contingent valuation survey was conducted to estimate the aggregate willingness to pay of a group of Wisconsin residents for improving the water quality of a popular recreational lake. Extensive limnological research specific to the lake allowed for a thorough understanding of the relationship between pollutant loading and water quality response, thus making the lake an excellent candidate for a contingent valuation study. Results show that the water quality improvement will provide positive net benefits to the public and that payment time horizon has a significant effect on valuation statements.","ISSN":"1058-7195","shortTitle":"Nonpoint Source Pollution and Present Values","journalAbbreviation":"Review of Agricultural Economics","author":[{"family":"Stumborg","given":"Basil E."},{"family":"Baerenklau","given":"Kenneth A."},{"family":"Bishop","given":"Richard C."}],"issued":{"date-parts":[["2001",4,1]]}}}],"schema":"https://github.com/citation-style-language/schema/raw/master/csl-citation.json"} </w:instrText>
      </w:r>
      <w:r>
        <w:fldChar w:fldCharType="separate"/>
      </w:r>
      <w:r w:rsidRPr="00F34157">
        <w:rPr>
          <w:vertAlign w:val="superscript"/>
        </w:rPr>
        <w:t>25</w:t>
      </w:r>
      <w:r>
        <w:fldChar w:fldCharType="end"/>
      </w:r>
      <w:r>
        <w:t xml:space="preserve"> - roughly equivalent in magnitude to the loss of 0.9 m by declining </w:t>
      </w:r>
      <w:r>
        <w:rPr>
          <w:i/>
        </w:rPr>
        <w:t>D. pulicaria</w:t>
      </w:r>
      <w:r>
        <w:t xml:space="preserve">. </w:t>
      </w:r>
      <w:r w:rsidRPr="00A220A2">
        <w:t>In the context of this cultural value of water clarity in Madison,</w:t>
      </w:r>
      <w:r>
        <w:t xml:space="preserve"> US$175M is a huge price tag for a single </w:t>
      </w:r>
      <w:r w:rsidRPr="00A220A2">
        <w:t>invasion. Managers may need to consider new strategies to directly</w:t>
      </w:r>
      <w:r>
        <w:t xml:space="preserve"> mitigate SWF’s effect on </w:t>
      </w:r>
      <w:r>
        <w:rPr>
          <w:i/>
        </w:rPr>
        <w:t xml:space="preserve">D. pulicaria </w:t>
      </w:r>
      <w:r>
        <w:t>(e.g. via managing the fishery). Additionally, preventing the spread of SWF from Lake Mendota into other lakes in the region is paramount, lest these effects be multiplied as SWF spreads.</w:t>
      </w:r>
    </w:p>
    <w:p w14:paraId="0EABC398" w14:textId="77777777" w:rsidR="00EE5247" w:rsidRDefault="00EE5247" w:rsidP="00EE5247">
      <w:pPr>
        <w:spacing w:line="480" w:lineRule="auto"/>
      </w:pPr>
      <w:r>
        <w:tab/>
        <w:t xml:space="preserve">These damages and costs highlight the severity of even a single case of invasion affecting a single ecosystem service. Furthermore, the economic efficiency of prioritizing the prevention of invasions is reported widely </w:t>
      </w:r>
      <w:r>
        <w:fldChar w:fldCharType="begin"/>
      </w:r>
      <w:r>
        <w:instrText xml:space="preserve"> ADDIN ZOTERO_ITEM CSL_CITATION {"citationID":"2aL2R9dl","properties":{"formattedCitation":"{\\rtf \\super 9,30,31\\nosupersub{}}","plainCitation":"9,30,31"},"citationItems":[{"id":89,"uris":["http://zotero.org/users/905549/items/4JE28V8S"],"uri":["http://zotero.org/users/905549/items/4JE28V8S"],"itemData":{"id":89,"type":"article-journal","title":"A management framework for preventing the secondary spread of aquatic   invasive species RID A-8535-2010","container-title":"Canadian Journal of Fisheries and Aquatic Sciences","page":"1512-1522","volume":"65","issue":"7","source":"ISI Web of Knowledge","abstract":"Biological invasions continue to accelerate, and there is a need for   closer integration between invasive species research and on-the-ground   management. In many regions, aquatic invasive species have established   isolated populations, but have not yet spread to many sites that provide   suitable habitat. In the Laurentian Great Lakes region, several Great   Lakes invaders such as zebra mussel (Dreissena polymorpha), rainbow   smelt (Osmerus mordax), and spiny water flea (Bythotrephes longimanus)   are currently undergoing secondary spread to the smaller inland lakes   and streams. This paper describes recent advances in forecasting the   secondary spread of aquatic invasive species and presents a framework   for assessing vulnerability of inland waters based on explicit   assessment of three distinct aspects of biological invasions:   colonization, site suitability, and adverse impact. In many cases, only   a fraction of lakes on the landscape are vulnerable to specific invasive   species, highlighting the potential application of this type of research   for improving invasive species management. Effective application to   on-the-ground resource management will require that research aimed at   assessing site vulnerability be translated into management tools.","DOI":"10.1139/F08-099","ISSN":"0706-652X","note":"WOS:000257359100024","journalAbbreviation":"Can. J. Fish. Aquat. Sci.","language":"English","author":[{"family":"Zanden","given":"M. Jake","non-dropping-particle":"Vander"},{"family":"Olden","given":"Julian D."}],"issued":{"date-parts":[["2008",7]]}}},{"id":1015,"uris":["http://zotero.org/users/905549/items/3ZBS3G8D"],"uri":["http://zotero.org/users/905549/items/3ZBS3G8D"],"itemData":{"id":1015,"type":"article-journal","title":"Biological invasions: Recommendations for US policy and management","container-title":"Ecological Applications","page":"2035-2054","volume":"16","issue":"6","source":"ISI Web of Knowledge","abstract":"The Ecological Society of America has evaluated current U.S. national policies and practices on biological invasions in light of current scientific knowledge. Invasions by harmful normative species are increasing in number and area affected; the damages to ecosystems, economic activity, and human welfare are accumulating. Without improved strategies based on recent scientific advances and increased investments to counter invasions, harm from invasive species is likely to accelerate. Federal leadership, with the cooperation of state and local governments, is required to increase the effectiveness of prevention of invasions, detect and respond quickly to new potentially harmful invasions, control and slow the spread of existing invasions, and provide a national center to ensure that these efforts are coordinated and cost effective.   Specifically, the Ecological Society of America recommends that the federal government take the following six actions: (1) Use new information and practices to better manage commercial and other pathways to reduce the transport and release of potentially harmful species; (2) Adopt more quantitative procedures for risk analysis and apply them to every species proposed for importation into the country; (3) Use new cost-effective diagnostic technologies to increase active surveillance and sharing of information about invasive species so that responses to new invasions can be more rapid and effective; (4) Create new legal authority and provide emergency funding to support rapid responses to emerging invasions; (5) Provide funding and incentives for cost-effective programs to slow the spread of existing invasive species in order to protect still uninvaded ecosystems, social and industrial infrastructure, and human welfare; and (6) Establish a National Center for Invasive Species Management (under the existing National Invasive Species Council) to coordinate and lead improvements in federal, state, and international policies on invasive species.   Recent scientific and technical advances provide a sound basis for more cost-effective national responses to invasive species. Greater investments in improved technology and management practices would be more than repaid by reduced damages from current and future invasive species. The Ecological Society of America is committed to assist all levels of government and provide scientific advice to improve all aspects of invasive-species management.","DOI":"10.1890/1051-0761(2006)016[2035:BIRFUP]2.0.CO;2","ISSN":"1051-0761","note":"WOS:000242849300001","shortTitle":"Biological invasions","journalAbbreviation":"Ecol. Appl.","language":"English","author":[{"family":"Lodge","given":"David M."},{"family":"Williams","given":"Susan"},{"family":"MacIsaac","given":"Hugh J."},{"family":"Hayes","given":"Keith R."},{"family":"Leung","given":"Brian"},{"family":"Reichard","given":"Sarah"},{"family":"Mack","given":"Richard N."},{"family":"Moyle","given":"Peter B."},{"family":"Smith","given":"Maggie"},{"family":"Andow","given":"David A."},{"family":"Carlton","given":"James T."},{"family":"McMichael","given":"Anthony"}],"issued":{"date-parts":[["2006",12]]}}},{"id":480,"uris":["http://zotero.org/users/905549/items/JVGFUHRS"],"uri":["http://zotero.org/users/905549/items/JVGFUHRS"],"itemData":{"id":480,"type":"article-journal","title":"An ounce of prevention or a pound of cure: bioeconomic risk analysis of   invasive species","container-title":"Proceedings of the Royal Society of London Series B-Biological Sciences","page":"2407-2413","volume":"269","issue":"1508","source":"ISI Web of Knowledge","abstract":"Numbers of non-indigenous species-species introduced from elsewhere-are   increasing rapidly worldwide, causing both environmental and economic   damage. Rigorous quantitative risk-analysis frameworks, however, for   invasive species are lacking. We need to evaluate the risks posed by   invasive species and quantify the relative merits of different   management strategies (e.g. allocation of resources between prevention   and control). We present a quantitative bioeconomic modelling framework   to analyse risks from non-indigenous species to economic activity and   the environment. The model identifies the optimal allocation of   resources to prevention versus control, acceptable invasion risks and   consequences of invasion to optimal investments (e.g. labour and   capital). We apply the model to zebra mussels (Dreissena polymorpha),   and show that society could benefit by spending up to US$324 000   year(-1) to prevent invasions into a single lake with a power plant. By   contrast, the US Fish and Wildlife Service spent US$825 000 in 2001 to   manage all aquatic invaders in all US lakes. Thus, greater investment in   prevention is warranted.","DOI":"10.1098/rspb.2002.2179","ISSN":"0962-8452","note":"WOS:000180108400004","shortTitle":"An ounce of prevention or a pound of cure","journalAbbreviation":"Proc. R. Soc. Lond. Ser. B-Biol. Sci.","language":"English","author":[{"family":"Leung","given":"B"},{"family":"Lodge","given":"DM"},{"family":"Finnoff","given":"D"},{"family":"Shogren","given":"JF"},{"family":"Lewis","given":"MA"},{"family":"Lamberti","given":"G"}],"issued":{"date-parts":[["2002",12,7]]}}}],"schema":"https://github.com/citation-style-language/schema/raw/master/csl-citation.json"} </w:instrText>
      </w:r>
      <w:r>
        <w:fldChar w:fldCharType="separate"/>
      </w:r>
      <w:r w:rsidRPr="00F34157">
        <w:rPr>
          <w:vertAlign w:val="superscript"/>
        </w:rPr>
        <w:t>9,30,31</w:t>
      </w:r>
      <w:r>
        <w:fldChar w:fldCharType="end"/>
      </w:r>
      <w:r>
        <w:t>. The information reported here allows for a direct comparison of the trade-offs between preventing invasions and assuming their damages. For example, the cost to offset the SWF’s impact and the damages associated with a loss of 1 m of water clarity highlight the value of broader-scale invasion prevention efforts like closing direct access to the St. Lawrence Seaway by transatlantic shipping vessels. Allowing direct access to the seaway by these ships provides US$55M of annual savings relative to alternative methods</w:t>
      </w:r>
      <w:r>
        <w:fldChar w:fldCharType="begin"/>
      </w:r>
      <w:r>
        <w:instrText xml:space="preserve"> ADDIN ZOTERO_ITEM CSL_CITATION {"citationID":"f6vl60vcb","properties":{"formattedCitation":"{\\rtf \\super 32\\nosupersub{}}","plainCitation":"32"},"citationItems":[{"id":1631,"uris":["http://zotero.org/users/905549/items/BI65HJKV"],"uri":["http://zotero.org/users/905549/items/BI65HJKV"],"itemData":{"id":1631,"type":"article-journal","title":"Ocean Shipping in the Great Lakes: An Analysis of Industry Transportation Cost Savings","container-title":"Transportation Journal","page":"53-67","volume":"48","issue":"1","source":"JSTOR","ISSN":"0041-1612","shortTitle":"Ocean Shipping in the Great Lakes","journalAbbreviation":"Transportation Journal","author":[{"family":"Taylor","given":"John C."},{"family":"Roach","given":"James L."}],"issued":{"date-parts":[["2009",1,1]]}}}],"schema":"https://github.com/citation-style-language/schema/raw/master/csl-citation.json"} </w:instrText>
      </w:r>
      <w:r>
        <w:fldChar w:fldCharType="separate"/>
      </w:r>
      <w:r w:rsidRPr="00F34157">
        <w:rPr>
          <w:vertAlign w:val="superscript"/>
        </w:rPr>
        <w:t>32</w:t>
      </w:r>
      <w:r>
        <w:fldChar w:fldCharType="end"/>
      </w:r>
      <w:r>
        <w:t>. The cost to offset the damages of this single secondary invasion (US$8.75M per year or 16% of those savings) alone make a strong case for preventing future invasions at this scale.</w:t>
      </w:r>
    </w:p>
    <w:p w14:paraId="6E7B4507" w14:textId="77777777" w:rsidR="00EE5247" w:rsidRDefault="00EE5247" w:rsidP="00EE5247">
      <w:pPr>
        <w:spacing w:line="480" w:lineRule="auto"/>
      </w:pPr>
      <w:r>
        <w:rPr>
          <w:b/>
        </w:rPr>
        <w:tab/>
      </w:r>
      <w:r>
        <w:t>Linkages of ecological processes with economic or social benefits are needed to apply ecosystem service concepts in public policy</w:t>
      </w:r>
      <w:r>
        <w:fldChar w:fldCharType="begin"/>
      </w:r>
      <w:r>
        <w:instrText xml:space="preserve"> ADDIN ZOTERO_ITEM CSL_CITATION {"citationID":"28jop3o7o2","properties":{"formattedCitation":"{\\rtf \\super 1,33,34\\nosupersub{}}","plainCitation":"1,33,34"},"citationItems":[{"id":1729,"uris":["http://zotero.org/users/905549/items/X8CU8S3S"],"uri":["http://zotero.org/users/905549/items/X8CU8S3S"],"itemData":{"id":1729,"type":"article-journal","title":"Natural capital and ecosystem services informing decisions: From promise to practice","container-title":"Proceedings of the National Academy of Sciences","page":"7348-7355","volume":"112","issue":"24","source":"www.pnas.org","abstract":"The central challenge of the 21st century is to develop economic, social, and governance systems capable of ending poverty and achieving sustainable levels of population and consumption while securing the life-support systems underpinning current and future human well-being. Essential to meeting this challenge is the incorporation of natural capital and the ecosystem services it provides into decision-making. We explore progress and crucial gaps at this frontier, reflecting upon the 10 y since the Millennium Ecosystem Assessment. We focus on three key dimensions of progress and ongoing challenges: raising awareness of the interdependence of ecosystems and human well-being, advancing the fundamental interdisciplinary science of ecosystem services, and implementing this science in decisions to restore natural capital and use it sustainably. Awareness of human dependence on nature is at an all-time high, the science of ecosystem services is rapidly advancing, and talk of natural capital is now common from governments to corporate boardrooms. However, successful implementation is still in early stages. We explore why ecosystem service information has yet to fundamentally change decision-making and suggest a path forward that emphasizes: (i) developing solid evidence linking decisions to impacts on natural capital and ecosystem services, and then to human well-being; (ii) working closely with leaders in government, business, and civil society to develop the knowledge, tools, and practices necessary to integrate natural capital and ecosystem services into everyday decision-making; and (iii) reforming institutions to change policy and practices to better align private short-term goals with societal long-term goals.","DOI":"10.1073/pnas.1503751112","ISSN":"0027-8424, 1091-6490","note":"PMID: 26082539","shortTitle":"Natural capital and ecosystem services informing decisions","journalAbbreviation":"PNAS","language":"en","author":[{"family":"Guerry","given":"Anne D."},{"family":"Polasky","given":"Stephen"},{"family":"Lubchenco","given":"Jane"},{"family":"Chaplin-Kramer","given":"Rebecca"},{"family":"Daily","given":"Gretchen C."},{"family":"Griffin","given":"Robert"},{"family":"Ruckelshaus","given":"Mary"},{"family":"Bateman","given":"Ian J."},{"family":"Duraiappah","given":"Anantha"},{"family":"Elmqvist","given":"Thomas"},{"family":"Feldman","given":"Marcus W."},{"family":"Folke","given":"Carl"},{"family":"Hoekstra","given":"Jon"},{"family":"Kareiva","given":"Peter M."},{"family":"Keeler","given":"Bonnie L."},{"family":"Li","given":"Shuzhuo"},{"family":"McKenzie","given":"Emily"},{"family":"Ouyang","given":"Zhiyun"},{"family":"Reyers","given":"Belinda"},{"family":"Ricketts","given":"Taylor H."},{"family":"Rockström","given":"Johan"},{"family":"Tallis","given":"Heather"},{"family":"Vira","given":"Bhaskar"}],"issued":{"date-parts":[["2015",6,16]]},"PMID":"26082539"}},{"id":1736,"uris":["http://zotero.org/users/905549/items/QKMF8GPP"],"uri":["http://zotero.org/users/905549/items/QKMF8GPP"],"itemData":{"id":1736,"type":"article-journal","title":"Linking water quality and well-being for improved assessment and valuation of ecosystem services","container-title":"Proceedings of the National Academy of Sciences","page":"18619-18624","volume":"109","issue":"45","source":"www.pnas.org","abstract":"Despite broad recognition of the value of the goods and services provided by nature, existing tools for assessing and valuing ecosystem services often fall short of the needs and expectations of decision makers. Here we address one of the most important missing components in the current ecosystem services toolbox: a comprehensive and generalizable framework for describing and valuing water quality-related services. Water quality is often misrepresented as a final ecosystem service. We argue that it is actually an important contributor to many different services, from recreation to human health. We present a valuation approach for water quality-related services that is sensitive to different actions that affect water quality, identifies aquatic endpoints where the consequences of changing water quality on human well-being are realized, and recognizes the unique groups of beneficiaries affected by those changes. We describe the multiple biophysical and economic pathways that link actions to changes in water quality-related ecosystem goods and services and provide guidance to researchers interested in valuing these changes. Finally, we present a valuation template that integrates biophysical and economic models, links actions to changes in service provision and value estimates, and considers multiple sources of water quality-related ecosystem service values without double counting.","DOI":"10.1073/pnas.1215991109","ISSN":"0027-8424, 1091-6490","note":"PMID: 23091018","journalAbbreviation":"PNAS","language":"en","author":[{"family":"Keeler","given":"Bonnie L."},{"family":"Polasky","given":"Stephen"},{"family":"Brauman","given":"Kate A."},{"family":"Johnson","given":"Kris A."},{"family":"Finlay","given":"Jacques C."},{"family":"O’Neill","given":"Ann"},{"family":"Kovacs","given":"Kent"},{"family":"Dalzell","given":"Brent"}],"issued":{"date-parts":[["2012",11,6]]},"PMID":"23091018"}},{"id":1744,"uris":["http://zotero.org/users/905549/items/VZBGB2H8"],"uri":["http://zotero.org/users/905549/items/VZBGB2H8"],"itemData":{"id":1744,"type":"article-journal","title":"Nature as capital: Advancing and incorporating ecosystem services in United States federal policies and programs","container-title":"Proceedings of the National Academy of Sciences","page":"7383-7389","volume":"112","issue":"24","source":"www.pnas.org","abstract":"The concept of nature as capital is gaining visibility in policies and practices in both the public and private sectors. This change is due to an improved ability to assess and value ecosystem services, as well as to a growing recognition of the potential of an ecosystem services approach to make tradeoffs in decision making more transparent, inform efficient use of resources, enhance resilience and sustainability, and avoid unintended negative consequences of policy actions. Globally, governments, financial institutions, and corporations have begun to incorporate natural capital accounting in their policies and practices. In the United States, universities, nongovernmental organizations, and federal agencies are actively collaborating to develop and apply ecosystem services concepts to further national environmental and economic objectives. Numerous federal agencies have begun incorporating these concepts into land use planning, water resources management, and preparations for, and responses to, climate change. Going forward, well-defined policy direction will be necessary to institutionalize ecosystem services approaches in federal agencies, as well as to guide intersector and interdisciplinary collaborative research and development efforts. In addition, a new generation of decision support tools are needed to further the practical application of ecosystem services principles in policymaking and commercial activities. Improved performance metrics are needed, as are mechanisms to monitor the status of ecosystem services and assess the environmental and economic impacts of policies and programs. A greater national and international financial commitment to advancing ecosystem services and natural capital accounting would likely have broad, long-term economic and environmental benefits.","DOI":"10.1073/pnas.1420500112","ISSN":"0027-8424, 1091-6490","note":"PMID: 26082544","shortTitle":"Nature as capital","journalAbbreviation":"PNAS","language":"en","author":[{"family":"Schaefer","given":"Mark"},{"family":"Goldman","given":"Erica"},{"family":"Bartuska","given":"Ann M."},{"family":"Sutton-Grier","given":"Ariana"},{"family":"Lubchenco","given":"Jane"}],"issued":{"date-parts":[["2015",6,16]]},"PMID":"26082544"}}],"schema":"https://github.com/citation-style-language/schema/raw/master/csl-citation.json"} </w:instrText>
      </w:r>
      <w:r>
        <w:fldChar w:fldCharType="separate"/>
      </w:r>
      <w:r w:rsidRPr="00F34157">
        <w:rPr>
          <w:vertAlign w:val="superscript"/>
        </w:rPr>
        <w:t>1,33,34</w:t>
      </w:r>
      <w:r>
        <w:fldChar w:fldCharType="end"/>
      </w:r>
      <w:r>
        <w:t xml:space="preserve">. We have shown that an invasive species degraded an ecosystem service, demonstrated the mechanism, and </w:t>
      </w:r>
      <w:r>
        <w:lastRenderedPageBreak/>
        <w:t xml:space="preserve">estimated the economic cost. SWF invasion has not only decreased water quality. It has also caused serious additional costs for improving water quality by directly reducing phosphorus input. Water quality targets for the lake are more difficult and expensive to achieve as a result of the invasion. Thus the value of an ecosystem service is also related to the ecological mechanism of achieving that service. Ecological mechanisms, as well as economic ones, must be analyzed together to bring ecosystem services into decision processes regarding species invasion </w:t>
      </w:r>
      <w:r>
        <w:fldChar w:fldCharType="begin"/>
      </w:r>
      <w:r>
        <w:instrText xml:space="preserve"> ADDIN ZOTERO_ITEM CSL_CITATION {"citationID":"1dj56u9t2n","properties":{"formattedCitation":"{\\rtf \\super 8\\nosupersub{}}","plainCitation":"8"},"citationItems":[{"id":1740,"uris":["http://zotero.org/users/905549/items/N8UF3QXM"],"uri":["http://zotero.org/users/905549/items/N8UF3QXM"],"itemData":{"id":1740,"type":"article-journal","title":"Setting the bar: Standards for ecosystem services","container-title":"Proceedings of the National Academy of Sciences","page":"7356-7361","volume":"112","issue":"24","source":"www.pnas.org","abstract":"Progress in ecosystem service science has been rapid, and there is now a healthy appetite among key public and private sector decision makers for this science. However, changing policy and management is a long-term project, one that raises a number of specific practical challenges. One impediment to broad adoption of ecosystem service information is the lack of standards that define terminology, acceptable data and methods, and reporting requirements. Ecosystem service standards should be tailored to specific use contexts, such as national income and wealth accounts, corporate sustainability reporting, land-use planning, and environmental impact assessments. Many standard-setting organizations already exist, and the research community will make the most headway toward rapid uptake of ecosystem service science by working directly with these organizations. Progress has been made in aligning with existing organizations in areas such as product certification and sustainability reporting, but a major challenge remains in mainstreaming ecosystem service information into core public and private use contexts, such as agricultural and energy subsidy design, national income accounts, and corporate accounts.","DOI":"10.1073/pnas.1406490112","ISSN":"0027-8424, 1091-6490","note":"PMID: 26082540","shortTitle":"Setting the bar","journalAbbreviation":"PNAS","language":"en","author":[{"family":"Polasky","given":"Stephen"},{"family":"Tallis","given":"Heather"},{"family":"Reyers","given":"Belinda"}],"issued":{"date-parts":[["2015",6,16]]},"PMID":"26082540"}}],"schema":"https://github.com/citation-style-language/schema/raw/master/csl-citation.json"} </w:instrText>
      </w:r>
      <w:r>
        <w:fldChar w:fldCharType="separate"/>
      </w:r>
      <w:r w:rsidRPr="00173866">
        <w:rPr>
          <w:vertAlign w:val="superscript"/>
        </w:rPr>
        <w:t>8</w:t>
      </w:r>
      <w:r>
        <w:fldChar w:fldCharType="end"/>
      </w:r>
      <w:r>
        <w:t>.</w:t>
      </w:r>
    </w:p>
    <w:p w14:paraId="0A142132" w14:textId="77777777" w:rsidR="00EE5247" w:rsidRDefault="00EE5247" w:rsidP="00EE5247">
      <w:pPr>
        <w:spacing w:line="480" w:lineRule="auto"/>
      </w:pPr>
    </w:p>
    <w:p w14:paraId="414A342F" w14:textId="77777777" w:rsidR="00EE5247" w:rsidRDefault="00EE5247" w:rsidP="00EE5247">
      <w:pPr>
        <w:spacing w:line="480" w:lineRule="auto"/>
        <w:rPr>
          <w:b/>
        </w:rPr>
      </w:pPr>
      <w:r>
        <w:rPr>
          <w:b/>
        </w:rPr>
        <w:t>Methods Summary</w:t>
      </w:r>
    </w:p>
    <w:p w14:paraId="56C0D1AE" w14:textId="77777777" w:rsidR="00EE5247" w:rsidRDefault="00EE5247" w:rsidP="00EE5247">
      <w:pPr>
        <w:spacing w:line="480" w:lineRule="auto"/>
        <w:rPr>
          <w:b/>
        </w:rPr>
      </w:pPr>
      <w:r>
        <w:rPr>
          <w:b/>
        </w:rPr>
        <w:t xml:space="preserve">Time series - </w:t>
      </w:r>
      <w:r>
        <w:t>Lake Mendota is a part of the NSF North Temperate Lakes Long Term Ecological Research program. We were able to obtain fortnightly time series for water clarity (Secchi depth), zooplankton biomass</w:t>
      </w:r>
      <w:r>
        <w:fldChar w:fldCharType="begin"/>
      </w:r>
      <w:r>
        <w:instrText xml:space="preserve"> ADDIN ZOTERO_ITEM CSL_CITATION {"citationID":"23tv76ppf","properties":{"formattedCitation":"{\\rtf \\super 35\\nosupersub{}}","plainCitation":"35"},"citationItems":[{"id":1699,"uris":["http://zotero.org/users/905549/items/PQHBJ5BH"],"uri":["http://zotero.org/users/905549/items/PQHBJ5BH"],"itemData":{"id":1699,"type":"chapter","title":"The estimation of the abundance and biomass of zooplankton in samples","container-title":"A manual on methods for the assessment of secondary productivity in fresh waters","publisher":"Blackwell Scientific Publications","page":"228-265","author":[{"family":"McCauley","given":"Edward"}],"issued":{"date-parts":[["1984"]]}}}],"schema":"https://github.com/citation-style-language/schema/raw/master/csl-citation.json"} </w:instrText>
      </w:r>
      <w:r>
        <w:fldChar w:fldCharType="separate"/>
      </w:r>
      <w:r w:rsidRPr="00F34157">
        <w:rPr>
          <w:vertAlign w:val="superscript"/>
        </w:rPr>
        <w:t>35</w:t>
      </w:r>
      <w:r>
        <w:fldChar w:fldCharType="end"/>
      </w:r>
      <w:r>
        <w:t>, phosphorus concentrations, and surface temperatures from the long-term database (lter.limnology.wisc.edu). Phosphorus loading data is obtained through a USGS monitoring site on the Yahara River that correlates strongly (R</w:t>
      </w:r>
      <w:r>
        <w:rPr>
          <w:vertAlign w:val="superscript"/>
        </w:rPr>
        <w:t>2</w:t>
      </w:r>
      <w:r>
        <w:t xml:space="preserve"> = 0.97) with total phosphorus load into the lake (usgs.gov). We visualize pre-2009 and post-2009 changes using generalized additive models fitted to day of the year</w:t>
      </w:r>
      <w:r>
        <w:fldChar w:fldCharType="begin"/>
      </w:r>
      <w:r>
        <w:instrText xml:space="preserve"> ADDIN ZOTERO_ITEM CSL_CITATION {"citationID":"1nroq8ip4i","properties":{"formattedCitation":"{\\rtf \\super 36\\nosupersub{}}","plainCitation":"36"},"citationItems":[{"id":1676,"uris":["http://zotero.org/users/905549/items/55QJVSTM"],"uri":["http://zotero.org/users/905549/items/55QJVSTM"],"itemData":{"id":1676,"type":"book","title":"mgcv: Mixed GAM Computation Vehicle with GCV/AIC/REML Smoothness Estimation","version":"1.8-7","source":"R-Packages","abstract":"GAMs, GAMMs and other generalized ridge regression with\nmultiple smoothing parameter estimation by GCV, REML or UBRE/AIC.\nIncludes a gam() function, a wide variety of smoothers, JAGS\nsupport and distributions beyond the exponential family.","URL":"https://cran.r-project.org/web/packages/mgcv/index.html","shortTitle":"mgcv","author":[{"family":"Wood","given":"Simon"}],"issued":{"date-parts":[["2015",7,23]]},"accessed":{"date-parts":[["2015",8,5]]}}}],"schema":"https://github.com/citation-style-language/schema/raw/master/csl-citation.json"} </w:instrText>
      </w:r>
      <w:r>
        <w:fldChar w:fldCharType="separate"/>
      </w:r>
      <w:r w:rsidRPr="00F34157">
        <w:rPr>
          <w:vertAlign w:val="superscript"/>
        </w:rPr>
        <w:t>36</w:t>
      </w:r>
      <w:r>
        <w:fldChar w:fldCharType="end"/>
      </w:r>
      <w:r>
        <w:t xml:space="preserve">. </w:t>
      </w:r>
      <w:r>
        <w:rPr>
          <w:b/>
        </w:rPr>
        <w:t xml:space="preserve">MARSS - </w:t>
      </w:r>
      <w:r>
        <w:t>We used multivariate autoregressive state-space time series modeling</w:t>
      </w:r>
      <w:r>
        <w:fldChar w:fldCharType="begin"/>
      </w:r>
      <w:r>
        <w:instrText xml:space="preserve"> ADDIN ZOTERO_ITEM CSL_CITATION {"citationID":"1lh99cfign","properties":{"formattedCitation":"{\\rtf \\super 28\\nosupersub{}}","plainCitation":"28"},"citationItems":[{"id":1627,"uris":["http://zotero.org/users/905549/items/MT9TFGCD"],"uri":["http://zotero.org/users/905549/items/MT9TFGCD"],"itemData":{"id":1627,"type":"article-journal","title":"MARSS: Multivariate Autoregressive State-space Models for Analyzing Time-series Data","container-title":"R Journal","page":"11-19","volume":"4","issue":"1","source":"Web of Science","abstract":"MARSS is a package for fitting multivariate autoregressive state-space models to time-series data. The MARSS package implements state-space models in a maximum likelihood framework. The core functionality of MARSS is based on likelihood maximization using the Kalman filter/smoother, combined with an EM algorithm. To make comparisons with other packages available, parameter estimation is also permitted via direct search routines available in 'optim'. The MARSS package allows data to contain missing values and allows a wide variety of model structures and constraints to be specified (such as fixed or shared parameters). In addition to model-fitting, the package provides bootstrap routines for simulating data and generating confidence intervals, and multiple options for calculating model selection criteria (such as AIC).","ISSN":"2073-4859","note":"WOS:000313197700003","shortTitle":"MARSS","journalAbbreviation":"R Journal","language":"English","author":[{"family":"Holmes","given":"Elizabeth E."},{"family":"Ward","given":"Eric J."},{"family":"Wills","given":"Kellie"}],"issued":{"date-parts":[["2012",6]]}}}],"schema":"https://github.com/citation-style-language/schema/raw/master/csl-citation.json"} </w:instrText>
      </w:r>
      <w:r>
        <w:fldChar w:fldCharType="separate"/>
      </w:r>
      <w:r w:rsidRPr="00F34157">
        <w:rPr>
          <w:vertAlign w:val="superscript"/>
        </w:rPr>
        <w:t>28</w:t>
      </w:r>
      <w:r>
        <w:fldChar w:fldCharType="end"/>
      </w:r>
      <w:r>
        <w:t xml:space="preserve"> to investigate ecological interactions in Lake Mendota and predict water clarity under varying grazing and P-loading scenarios. </w:t>
      </w:r>
      <w:r>
        <w:rPr>
          <w:b/>
        </w:rPr>
        <w:t xml:space="preserve">Economic Information - </w:t>
      </w:r>
      <w:r>
        <w:t>We obtain P-load reduction cost information from the Yahara CLEAN engineering report conducted by Strand Associates</w:t>
      </w:r>
      <w:r>
        <w:fldChar w:fldCharType="begin"/>
      </w:r>
      <w:r>
        <w:instrText xml:space="preserve"> ADDIN ZOTERO_ITEM CSL_CITATION {"citationID":"2mr1frgf1q","properties":{"formattedCitation":"{\\rtf \\super 29\\nosupersub{}}","plainCitation":"29"},"citationItems":[{"id":1708,"uris":["http://zotero.org/users/905549/items/7DQ7IP5I"],"uri":["http://zotero.org/users/905549/items/7DQ7IP5I"],"itemData":{"id":1708,"type":"report","title":"Yahara CLEAN engineering report","publisher":"Strand Associates, Inc.","publisher-place":"Madison, WI","event-place":"Madison, WI","issued":{"date-parts":[["2013"]]}}}],"schema":"https://github.com/citation-style-language/schema/raw/master/csl-citation.json"} </w:instrText>
      </w:r>
      <w:r>
        <w:fldChar w:fldCharType="separate"/>
      </w:r>
      <w:r w:rsidRPr="00F34157">
        <w:rPr>
          <w:vertAlign w:val="superscript"/>
        </w:rPr>
        <w:t>29</w:t>
      </w:r>
      <w:r>
        <w:fldChar w:fldCharType="end"/>
      </w:r>
      <w:r>
        <w:t>. We update valuation of water clarity</w:t>
      </w:r>
      <w:r>
        <w:fldChar w:fldCharType="begin"/>
      </w:r>
      <w:r>
        <w:instrText xml:space="preserve"> ADDIN ZOTERO_ITEM CSL_CITATION {"citationID":"1r8fj14dut","properties":{"formattedCitation":"{\\rtf \\super 25\\nosupersub{}}","plainCitation":"25"},"citationItems":[{"id":1629,"uris":["http://zotero.org/users/905549/items/QEBVXSCV"],"uri":["http://zotero.org/users/905549/items/QEBVXSCV"],"itemData":{"id":1629,"type":"article-journal","title":"Nonpoint Source Pollution and Present Values: A Contingent Valuation Study of Lake Mendota","container-title":"Review of Agricultural Economics","page":"120-132","volume":"23","issue":"1","source":"JSTOR","abstract":"A split sample contingent valuation survey was conducted to estimate the aggregate willingness to pay of a group of Wisconsin residents for improving the water quality of a popular recreational lake. Extensive limnological research specific to the lake allowed for a thorough understanding of the relationship between pollutant loading and water quality response, thus making the lake an excellent candidate for a contingent valuation study. Results show that the water quality improvement will provide positive net benefits to the public and that payment time horizon has a significant effect on valuation statements.","ISSN":"1058-7195","shortTitle":"Nonpoint Source Pollution and Present Values","journalAbbreviation":"Review of Agricultural Economics","author":[{"family":"Stumborg","given":"Basil E."},{"family":"Baerenklau","given":"Kenneth A."},{"family":"Bishop","given":"Richard C."}],"issued":{"date-parts":[["2001",4,1]]}}}],"schema":"https://github.com/citation-style-language/schema/raw/master/csl-citation.json"} </w:instrText>
      </w:r>
      <w:r>
        <w:fldChar w:fldCharType="separate"/>
      </w:r>
      <w:r w:rsidRPr="00F34157">
        <w:rPr>
          <w:vertAlign w:val="superscript"/>
        </w:rPr>
        <w:t>25</w:t>
      </w:r>
      <w:r>
        <w:fldChar w:fldCharType="end"/>
      </w:r>
      <w:r>
        <w:t xml:space="preserve"> to present day using the Consumer Price Index Inflation </w:t>
      </w:r>
      <w:r>
        <w:lastRenderedPageBreak/>
        <w:t>Calculator (data.bls.gov) and household estimates in Dane County, WI to 2014 census information (census.gov).</w:t>
      </w:r>
    </w:p>
    <w:p w14:paraId="3E38DB8D" w14:textId="77777777" w:rsidR="00EE5247" w:rsidRDefault="00EE5247" w:rsidP="00EE5247">
      <w:pPr>
        <w:spacing w:line="480" w:lineRule="auto"/>
        <w:rPr>
          <w:b/>
        </w:rPr>
      </w:pPr>
    </w:p>
    <w:p w14:paraId="264B73CF" w14:textId="77777777" w:rsidR="00EE5247" w:rsidRPr="00CD6E0D" w:rsidRDefault="00EE5247" w:rsidP="00EE5247">
      <w:pPr>
        <w:spacing w:line="480" w:lineRule="auto"/>
      </w:pPr>
      <w:r>
        <w:rPr>
          <w:b/>
        </w:rPr>
        <w:t>Acknowledgements</w:t>
      </w:r>
    </w:p>
    <w:p w14:paraId="37A69FE5" w14:textId="77777777" w:rsidR="00EE5247" w:rsidRDefault="00EE5247" w:rsidP="00EE5247">
      <w:pPr>
        <w:spacing w:line="480" w:lineRule="auto"/>
      </w:pPr>
      <w:r>
        <w:t xml:space="preserve">Wisconsin Department of Natural Resources. NSF North Temperate Lakes Long Term Ecological Research Program. NSF Water Sustainability and Climate Project. </w:t>
      </w:r>
      <w:r w:rsidRPr="009E6794">
        <w:t>Kirsten Rhude, Ted Bie</w:t>
      </w:r>
      <w:r>
        <w:t xml:space="preserve">r, Liz Runde, Scott Van Egeren, </w:t>
      </w:r>
      <w:r w:rsidRPr="009E6794">
        <w:t>Emily Stanley</w:t>
      </w:r>
      <w:r>
        <w:t>.</w:t>
      </w:r>
    </w:p>
    <w:p w14:paraId="0E50E9EA" w14:textId="77777777" w:rsidR="00EE5247" w:rsidRDefault="00EE5247" w:rsidP="00EE5247">
      <w:pPr>
        <w:spacing w:line="480" w:lineRule="auto"/>
      </w:pPr>
    </w:p>
    <w:p w14:paraId="512A61B1" w14:textId="77777777" w:rsidR="00EE5247" w:rsidRPr="00D33933" w:rsidRDefault="00EE5247" w:rsidP="00EE5247">
      <w:pPr>
        <w:spacing w:line="480" w:lineRule="auto"/>
        <w:rPr>
          <w:b/>
        </w:rPr>
      </w:pPr>
      <w:r>
        <w:rPr>
          <w:b/>
        </w:rPr>
        <w:t>Figure Legends</w:t>
      </w:r>
    </w:p>
    <w:p w14:paraId="61F2992B" w14:textId="77777777" w:rsidR="00EE5247" w:rsidRDefault="00EE5247" w:rsidP="00EE5247">
      <w:pPr>
        <w:spacing w:line="480" w:lineRule="auto"/>
      </w:pPr>
      <w:r>
        <w:t>Fig. 1 Seasonal dynamics pre- (blue; 1995 - 2007) and post-SWF (red; 2009 - 2014) of SWF (A), zooplankton grazers (B-C), phosphorus dynamics (D-E), and water clarity (F) are plotted as a smoothed GAM function of day of the year. Shaded areas represent 1 standard error.</w:t>
      </w:r>
    </w:p>
    <w:p w14:paraId="32EAE69B" w14:textId="77777777" w:rsidR="00EE5247" w:rsidRDefault="00EE5247" w:rsidP="00EE5247">
      <w:pPr>
        <w:spacing w:line="480" w:lineRule="auto"/>
      </w:pPr>
    </w:p>
    <w:p w14:paraId="789D95EE" w14:textId="77777777" w:rsidR="00EE5247" w:rsidRDefault="00EE5247" w:rsidP="00EE5247">
      <w:pPr>
        <w:spacing w:line="480" w:lineRule="auto"/>
      </w:pPr>
      <w:r>
        <w:t xml:space="preserve">Fig. 2 MARSS estimates of ecological interactions </w:t>
      </w:r>
      <w:r w:rsidRPr="00D07BCD">
        <w:t xml:space="preserve">are shown with arrows. Red arrows are significant negative effects, black arrows are significant positive effects, and grey arrows are insignificant effects. </w:t>
      </w:r>
      <w:r>
        <w:t>Half circle arrows represent first-order autoregressive terms, akin to “density-dependence” in population modeling.</w:t>
      </w:r>
    </w:p>
    <w:p w14:paraId="508DD28E" w14:textId="77777777" w:rsidR="00EE5247" w:rsidRDefault="00EE5247" w:rsidP="00EE5247">
      <w:pPr>
        <w:spacing w:line="480" w:lineRule="auto"/>
      </w:pPr>
    </w:p>
    <w:p w14:paraId="6BD37E9B" w14:textId="77777777" w:rsidR="00EE5247" w:rsidRDefault="00EE5247" w:rsidP="00EE5247">
      <w:pPr>
        <w:spacing w:line="480" w:lineRule="auto"/>
      </w:pPr>
      <w:r>
        <w:t xml:space="preserve">Fig. 3 MARSS model predictions under pre (blue) and post (red) 2009 zooplankton grazing conditions highlight the loss of the ecosystem services provided by </w:t>
      </w:r>
      <w:r>
        <w:rPr>
          <w:i/>
        </w:rPr>
        <w:t xml:space="preserve">D. pulicaria </w:t>
      </w:r>
      <w:r>
        <w:t xml:space="preserve">(A) and the cost of offsetting SWF’s impact through P-loading reductions </w:t>
      </w:r>
      <w:r>
        <w:lastRenderedPageBreak/>
        <w:t>(B). This is calculated as the P-loading reduction necessary to return the lake to pre-2009 clarity (blue filled circle) under post-2009 grazing (red filled circle).</w:t>
      </w:r>
      <w:r>
        <w:br w:type="page"/>
      </w:r>
    </w:p>
    <w:p w14:paraId="2BACE52A" w14:textId="77777777" w:rsidR="00EE5247" w:rsidRPr="00D33933" w:rsidRDefault="00EE5247" w:rsidP="00EE5247">
      <w:pPr>
        <w:spacing w:line="480" w:lineRule="auto"/>
        <w:rPr>
          <w:b/>
        </w:rPr>
      </w:pPr>
      <w:r w:rsidRPr="00D33933">
        <w:rPr>
          <w:b/>
        </w:rPr>
        <w:lastRenderedPageBreak/>
        <w:t>References</w:t>
      </w:r>
    </w:p>
    <w:p w14:paraId="22E0429E" w14:textId="77777777" w:rsidR="00EE5247" w:rsidRPr="00F34157" w:rsidRDefault="00EE5247" w:rsidP="00EE5247">
      <w:pPr>
        <w:pStyle w:val="Bibliography"/>
      </w:pPr>
      <w:r>
        <w:fldChar w:fldCharType="begin"/>
      </w:r>
      <w:r>
        <w:instrText xml:space="preserve"> ADDIN ZOTERO_BIBL {"custom":[]} CSL_BIBLIOGRAPHY </w:instrText>
      </w:r>
      <w:r>
        <w:fldChar w:fldCharType="separate"/>
      </w:r>
      <w:r w:rsidRPr="00F34157">
        <w:t>1.</w:t>
      </w:r>
      <w:r w:rsidRPr="00F34157">
        <w:tab/>
        <w:t xml:space="preserve">Guerry, A. D. </w:t>
      </w:r>
      <w:r w:rsidRPr="00F34157">
        <w:rPr>
          <w:i/>
          <w:iCs/>
        </w:rPr>
        <w:t>et al.</w:t>
      </w:r>
      <w:r w:rsidRPr="00F34157">
        <w:t xml:space="preserve"> Natural capital and ecosystem services informing decisions: From promise to practice. </w:t>
      </w:r>
      <w:r w:rsidRPr="00F34157">
        <w:rPr>
          <w:i/>
          <w:iCs/>
        </w:rPr>
        <w:t>Proc. Natl. Acad. Sci.</w:t>
      </w:r>
      <w:r w:rsidRPr="00F34157">
        <w:t xml:space="preserve"> </w:t>
      </w:r>
      <w:r w:rsidRPr="00F34157">
        <w:rPr>
          <w:b/>
          <w:bCs/>
        </w:rPr>
        <w:t>112,</w:t>
      </w:r>
      <w:r w:rsidRPr="00F34157">
        <w:t xml:space="preserve"> 7348–7355 (2015).</w:t>
      </w:r>
    </w:p>
    <w:p w14:paraId="10687062" w14:textId="77777777" w:rsidR="00EE5247" w:rsidRPr="00F34157" w:rsidRDefault="00EE5247" w:rsidP="00EE5247">
      <w:pPr>
        <w:pStyle w:val="Bibliography"/>
      </w:pPr>
      <w:r w:rsidRPr="00F34157">
        <w:t>2.</w:t>
      </w:r>
      <w:r w:rsidRPr="00F34157">
        <w:tab/>
        <w:t xml:space="preserve">Pejchar, L. &amp; Mooney, H. A. Invasive species, ecosystem services and human well-being. </w:t>
      </w:r>
      <w:r w:rsidRPr="00F34157">
        <w:rPr>
          <w:i/>
          <w:iCs/>
        </w:rPr>
        <w:t>Trends Ecol. Evol.</w:t>
      </w:r>
      <w:r w:rsidRPr="00F34157">
        <w:t xml:space="preserve"> </w:t>
      </w:r>
      <w:r w:rsidRPr="00F34157">
        <w:rPr>
          <w:b/>
          <w:bCs/>
        </w:rPr>
        <w:t>24,</w:t>
      </w:r>
      <w:r w:rsidRPr="00F34157">
        <w:t xml:space="preserve"> 497–504 (2009).</w:t>
      </w:r>
    </w:p>
    <w:p w14:paraId="11AC0FEF" w14:textId="77777777" w:rsidR="00EE5247" w:rsidRPr="00F34157" w:rsidRDefault="00EE5247" w:rsidP="00EE5247">
      <w:pPr>
        <w:pStyle w:val="Bibliography"/>
      </w:pPr>
      <w:r w:rsidRPr="00F34157">
        <w:t>3.</w:t>
      </w:r>
      <w:r w:rsidRPr="00F34157">
        <w:tab/>
        <w:t xml:space="preserve">Charles, H. &amp; Dukes, J. S. in </w:t>
      </w:r>
      <w:r w:rsidRPr="00F34157">
        <w:rPr>
          <w:i/>
          <w:iCs/>
        </w:rPr>
        <w:t>Ecological Studies - Biological Invasions</w:t>
      </w:r>
      <w:r w:rsidRPr="00F34157">
        <w:t xml:space="preserve"> </w:t>
      </w:r>
      <w:r w:rsidRPr="00F34157">
        <w:rPr>
          <w:b/>
          <w:bCs/>
        </w:rPr>
        <w:t>193,</w:t>
      </w:r>
      <w:r w:rsidRPr="00F34157">
        <w:t xml:space="preserve"> (Springer, 2007).</w:t>
      </w:r>
    </w:p>
    <w:p w14:paraId="10EBFD5F" w14:textId="77777777" w:rsidR="00EE5247" w:rsidRPr="00F34157" w:rsidRDefault="00EE5247" w:rsidP="00EE5247">
      <w:pPr>
        <w:pStyle w:val="Bibliography"/>
      </w:pPr>
      <w:r w:rsidRPr="00F34157">
        <w:t>4.</w:t>
      </w:r>
      <w:r w:rsidRPr="00F34157">
        <w:tab/>
        <w:t xml:space="preserve">Thiele, J., Kollmann, J., Markussen, B. &amp; Otte, A. Impact assessment revisited: improving the theoretical basis for   management of invasive alien species. </w:t>
      </w:r>
      <w:r w:rsidRPr="00F34157">
        <w:rPr>
          <w:i/>
          <w:iCs/>
        </w:rPr>
        <w:t>Biol. Invasions</w:t>
      </w:r>
      <w:r w:rsidRPr="00F34157">
        <w:t xml:space="preserve"> </w:t>
      </w:r>
      <w:r w:rsidRPr="00F34157">
        <w:rPr>
          <w:b/>
          <w:bCs/>
        </w:rPr>
        <w:t>12,</w:t>
      </w:r>
      <w:r w:rsidRPr="00F34157">
        <w:t xml:space="preserve"> 2025–2035 (2010).</w:t>
      </w:r>
    </w:p>
    <w:p w14:paraId="4863EC2B" w14:textId="77777777" w:rsidR="00EE5247" w:rsidRPr="00F34157" w:rsidRDefault="00EE5247" w:rsidP="00EE5247">
      <w:pPr>
        <w:pStyle w:val="Bibliography"/>
      </w:pPr>
      <w:r w:rsidRPr="00F34157">
        <w:t>5.</w:t>
      </w:r>
      <w:r w:rsidRPr="00F34157">
        <w:tab/>
        <w:t xml:space="preserve">Ehrenfeld, J. G. Ecosystem Consequences of Biological Invasions. </w:t>
      </w:r>
      <w:r w:rsidRPr="00F34157">
        <w:rPr>
          <w:i/>
          <w:iCs/>
        </w:rPr>
        <w:t>Annu. Rev. Ecol. Evol. Syst.</w:t>
      </w:r>
      <w:r w:rsidRPr="00F34157">
        <w:t xml:space="preserve"> </w:t>
      </w:r>
      <w:r w:rsidRPr="00F34157">
        <w:rPr>
          <w:b/>
          <w:bCs/>
        </w:rPr>
        <w:t>41,</w:t>
      </w:r>
      <w:r w:rsidRPr="00F34157">
        <w:t xml:space="preserve"> 59–80 (2010).</w:t>
      </w:r>
    </w:p>
    <w:p w14:paraId="3C68127A" w14:textId="77777777" w:rsidR="00EE5247" w:rsidRPr="00F34157" w:rsidRDefault="00EE5247" w:rsidP="00EE5247">
      <w:pPr>
        <w:pStyle w:val="Bibliography"/>
      </w:pPr>
      <w:r w:rsidRPr="00F34157">
        <w:t>6.</w:t>
      </w:r>
      <w:r w:rsidRPr="00F34157">
        <w:tab/>
        <w:t xml:space="preserve">Sidle, R. C., Benson, W. H., Carriger, J. F. &amp; Kamai, T. Broader perspective on ecosystem sustainability: Consequences for decision making. </w:t>
      </w:r>
      <w:r w:rsidRPr="00F34157">
        <w:rPr>
          <w:i/>
          <w:iCs/>
        </w:rPr>
        <w:t>Proc. Natl. Acad. Sci.</w:t>
      </w:r>
      <w:r w:rsidRPr="00F34157">
        <w:t xml:space="preserve"> </w:t>
      </w:r>
      <w:r w:rsidRPr="00F34157">
        <w:rPr>
          <w:b/>
          <w:bCs/>
        </w:rPr>
        <w:t>110,</w:t>
      </w:r>
      <w:r w:rsidRPr="00F34157">
        <w:t xml:space="preserve"> 9201–9208 (2013).</w:t>
      </w:r>
    </w:p>
    <w:p w14:paraId="7F999886" w14:textId="77777777" w:rsidR="00EE5247" w:rsidRPr="00F34157" w:rsidRDefault="00EE5247" w:rsidP="00EE5247">
      <w:pPr>
        <w:pStyle w:val="Bibliography"/>
      </w:pPr>
      <w:r w:rsidRPr="00F34157">
        <w:t>7.</w:t>
      </w:r>
      <w:r w:rsidRPr="00F34157">
        <w:tab/>
        <w:t xml:space="preserve">Ehrlich, P. R., Kareiva, P. M. &amp; Daily, G. C. Securing natural capital and expanding equity to rescale civilization. </w:t>
      </w:r>
      <w:r w:rsidRPr="00F34157">
        <w:rPr>
          <w:i/>
          <w:iCs/>
        </w:rPr>
        <w:t>Nature</w:t>
      </w:r>
      <w:r w:rsidRPr="00F34157">
        <w:t xml:space="preserve"> </w:t>
      </w:r>
      <w:r w:rsidRPr="00F34157">
        <w:rPr>
          <w:b/>
          <w:bCs/>
        </w:rPr>
        <w:t>486,</w:t>
      </w:r>
      <w:r w:rsidRPr="00F34157">
        <w:t xml:space="preserve"> 68–73 (2012).</w:t>
      </w:r>
    </w:p>
    <w:p w14:paraId="427D5473" w14:textId="77777777" w:rsidR="00EE5247" w:rsidRPr="00F34157" w:rsidRDefault="00EE5247" w:rsidP="00EE5247">
      <w:pPr>
        <w:pStyle w:val="Bibliography"/>
      </w:pPr>
      <w:r w:rsidRPr="00F34157">
        <w:t>8.</w:t>
      </w:r>
      <w:r w:rsidRPr="00F34157">
        <w:tab/>
        <w:t xml:space="preserve">Polasky, S., Tallis, H. &amp; Reyers, B. Setting the bar: Standards for ecosystem services. </w:t>
      </w:r>
      <w:r w:rsidRPr="00F34157">
        <w:rPr>
          <w:i/>
          <w:iCs/>
        </w:rPr>
        <w:t>Proc. Natl. Acad. Sci.</w:t>
      </w:r>
      <w:r w:rsidRPr="00F34157">
        <w:t xml:space="preserve"> </w:t>
      </w:r>
      <w:r w:rsidRPr="00F34157">
        <w:rPr>
          <w:b/>
          <w:bCs/>
        </w:rPr>
        <w:t>112,</w:t>
      </w:r>
      <w:r w:rsidRPr="00F34157">
        <w:t xml:space="preserve"> 7356–7361 (2015).</w:t>
      </w:r>
    </w:p>
    <w:p w14:paraId="5D1D9EB6" w14:textId="77777777" w:rsidR="00EE5247" w:rsidRPr="00F34157" w:rsidRDefault="00EE5247" w:rsidP="00EE5247">
      <w:pPr>
        <w:pStyle w:val="Bibliography"/>
      </w:pPr>
      <w:r w:rsidRPr="00F34157">
        <w:t>9.</w:t>
      </w:r>
      <w:r w:rsidRPr="00F34157">
        <w:tab/>
        <w:t xml:space="preserve">Vander Zanden, M. J. &amp; Olden, J. D. A management framework for preventing the secondary spread of aquatic   invasive species RID A-8535-2010. </w:t>
      </w:r>
      <w:r w:rsidRPr="00F34157">
        <w:rPr>
          <w:i/>
          <w:iCs/>
        </w:rPr>
        <w:t>Can. J. Fish. Aquat. Sci.</w:t>
      </w:r>
      <w:r w:rsidRPr="00F34157">
        <w:t xml:space="preserve"> </w:t>
      </w:r>
      <w:r w:rsidRPr="00F34157">
        <w:rPr>
          <w:b/>
          <w:bCs/>
        </w:rPr>
        <w:t>65,</w:t>
      </w:r>
      <w:r w:rsidRPr="00F34157">
        <w:t xml:space="preserve"> 1512–1522 (2008).</w:t>
      </w:r>
    </w:p>
    <w:p w14:paraId="545E8B46" w14:textId="77777777" w:rsidR="00EE5247" w:rsidRPr="00F34157" w:rsidRDefault="00EE5247" w:rsidP="00EE5247">
      <w:pPr>
        <w:pStyle w:val="Bibliography"/>
      </w:pPr>
      <w:r w:rsidRPr="00F34157">
        <w:t>10.</w:t>
      </w:r>
      <w:r w:rsidRPr="00F34157">
        <w:tab/>
        <w:t xml:space="preserve">Millennium ecosystem assessment. Ecosystems and human well-being: Biodiversity synthesis. (2005) World Resources Institute, Washington, DC. </w:t>
      </w:r>
      <w:r w:rsidRPr="00F34157">
        <w:rPr>
          <w:i/>
          <w:iCs/>
        </w:rPr>
        <w:t>Ecol. Manag. Restor.</w:t>
      </w:r>
      <w:r w:rsidRPr="00F34157">
        <w:t xml:space="preserve"> </w:t>
      </w:r>
      <w:r w:rsidRPr="00F34157">
        <w:rPr>
          <w:b/>
          <w:bCs/>
        </w:rPr>
        <w:t>6,</w:t>
      </w:r>
      <w:r w:rsidRPr="00F34157">
        <w:t xml:space="preserve"> 226–227 (2005).</w:t>
      </w:r>
    </w:p>
    <w:p w14:paraId="4A11F07E" w14:textId="77777777" w:rsidR="00EE5247" w:rsidRPr="00F34157" w:rsidRDefault="00EE5247" w:rsidP="00EE5247">
      <w:pPr>
        <w:pStyle w:val="Bibliography"/>
      </w:pPr>
      <w:r w:rsidRPr="00F34157">
        <w:t>11.</w:t>
      </w:r>
      <w:r w:rsidRPr="00F34157">
        <w:tab/>
        <w:t xml:space="preserve">Wilson, M. A. &amp; Carpenter, S. R. Economic Valuation of Freshwater Ecosystem Services in the United States: 1971-1997. </w:t>
      </w:r>
      <w:r w:rsidRPr="00F34157">
        <w:rPr>
          <w:i/>
          <w:iCs/>
        </w:rPr>
        <w:t>Ecol. Appl.</w:t>
      </w:r>
      <w:r w:rsidRPr="00F34157">
        <w:t xml:space="preserve"> </w:t>
      </w:r>
      <w:r w:rsidRPr="00F34157">
        <w:rPr>
          <w:b/>
          <w:bCs/>
        </w:rPr>
        <w:t>9,</w:t>
      </w:r>
      <w:r w:rsidRPr="00F34157">
        <w:t xml:space="preserve"> 772–783 (1999).</w:t>
      </w:r>
    </w:p>
    <w:p w14:paraId="2D43F97A" w14:textId="77777777" w:rsidR="00EE5247" w:rsidRPr="00F34157" w:rsidRDefault="00EE5247" w:rsidP="00EE5247">
      <w:pPr>
        <w:pStyle w:val="Bibliography"/>
      </w:pPr>
      <w:r w:rsidRPr="00F34157">
        <w:t>12.</w:t>
      </w:r>
      <w:r w:rsidRPr="00F34157">
        <w:tab/>
        <w:t xml:space="preserve">Carpenter, S. R., Stanley, E. H. &amp; Vander Zanden, M. J. State of the World’s Freshwater Ecosystems: Physical, Chemical, and Biological Changes. </w:t>
      </w:r>
      <w:r w:rsidRPr="00F34157">
        <w:rPr>
          <w:i/>
          <w:iCs/>
        </w:rPr>
        <w:t>Annu. Rev. Environ. Resour.</w:t>
      </w:r>
      <w:r w:rsidRPr="00F34157">
        <w:t xml:space="preserve"> </w:t>
      </w:r>
      <w:r w:rsidRPr="00F34157">
        <w:rPr>
          <w:b/>
          <w:bCs/>
        </w:rPr>
        <w:t>36,</w:t>
      </w:r>
      <w:r w:rsidRPr="00F34157">
        <w:t xml:space="preserve"> 75–99 (2011).</w:t>
      </w:r>
    </w:p>
    <w:p w14:paraId="23C67FC9" w14:textId="77777777" w:rsidR="00EE5247" w:rsidRPr="00F34157" w:rsidRDefault="00EE5247" w:rsidP="00EE5247">
      <w:pPr>
        <w:pStyle w:val="Bibliography"/>
      </w:pPr>
      <w:r w:rsidRPr="00F34157">
        <w:t>13.</w:t>
      </w:r>
      <w:r w:rsidRPr="00F34157">
        <w:tab/>
        <w:t xml:space="preserve">Hansson, L.-A. </w:t>
      </w:r>
      <w:r w:rsidRPr="00F34157">
        <w:rPr>
          <w:i/>
          <w:iCs/>
        </w:rPr>
        <w:t>et al.</w:t>
      </w:r>
      <w:r w:rsidRPr="00F34157">
        <w:t xml:space="preserve"> Biomanipulation as an Application of Food-Chain Theory: Constraints, Synthesis, and Recommendations for Temperate Lakes. </w:t>
      </w:r>
      <w:r w:rsidRPr="00F34157">
        <w:rPr>
          <w:i/>
          <w:iCs/>
        </w:rPr>
        <w:t>Ecosystems</w:t>
      </w:r>
      <w:r w:rsidRPr="00F34157">
        <w:t xml:space="preserve"> </w:t>
      </w:r>
      <w:r w:rsidRPr="00F34157">
        <w:rPr>
          <w:b/>
          <w:bCs/>
        </w:rPr>
        <w:t>1,</w:t>
      </w:r>
      <w:r w:rsidRPr="00F34157">
        <w:t xml:space="preserve"> 558–574 (1998).</w:t>
      </w:r>
    </w:p>
    <w:p w14:paraId="1120F9EB" w14:textId="77777777" w:rsidR="00EE5247" w:rsidRPr="00F34157" w:rsidRDefault="00EE5247" w:rsidP="00EE5247">
      <w:pPr>
        <w:pStyle w:val="Bibliography"/>
      </w:pPr>
      <w:r w:rsidRPr="00F34157">
        <w:t>14.</w:t>
      </w:r>
      <w:r w:rsidRPr="00F34157">
        <w:tab/>
        <w:t xml:space="preserve">Bernes, C. </w:t>
      </w:r>
      <w:r w:rsidRPr="00F34157">
        <w:rPr>
          <w:i/>
          <w:iCs/>
        </w:rPr>
        <w:t>et al.</w:t>
      </w:r>
      <w:r w:rsidRPr="00F34157">
        <w:t xml:space="preserve"> What is the influence of a reduction of planktivorous and benthivorous fish on water quality in temperate eutrophic lakes? A systematic review. </w:t>
      </w:r>
      <w:r w:rsidRPr="00F34157">
        <w:rPr>
          <w:i/>
          <w:iCs/>
        </w:rPr>
        <w:t>Environ. Evid.</w:t>
      </w:r>
      <w:r w:rsidRPr="00F34157">
        <w:t xml:space="preserve"> </w:t>
      </w:r>
      <w:r w:rsidRPr="00F34157">
        <w:rPr>
          <w:b/>
          <w:bCs/>
        </w:rPr>
        <w:t>4,</w:t>
      </w:r>
      <w:r w:rsidRPr="00F34157">
        <w:t xml:space="preserve"> 7 (2015).</w:t>
      </w:r>
    </w:p>
    <w:p w14:paraId="3920732E" w14:textId="77777777" w:rsidR="00EE5247" w:rsidRPr="00F34157" w:rsidRDefault="00EE5247" w:rsidP="00EE5247">
      <w:pPr>
        <w:pStyle w:val="Bibliography"/>
      </w:pPr>
      <w:r w:rsidRPr="00F34157">
        <w:t>15.</w:t>
      </w:r>
      <w:r w:rsidRPr="00F34157">
        <w:tab/>
        <w:t xml:space="preserve">Bunnell, D. B., Davis, B. M., Warner, D. M., Chriscinske, M. A. &amp; Roseman, E. F. Planktivory in the changing Lake Huron zooplankton community:   Bythotrephes consumption exceeds that of Mysis and fish. </w:t>
      </w:r>
      <w:r w:rsidRPr="00F34157">
        <w:rPr>
          <w:i/>
          <w:iCs/>
        </w:rPr>
        <w:t>Freshw. Biol.</w:t>
      </w:r>
      <w:r w:rsidRPr="00F34157">
        <w:t xml:space="preserve"> </w:t>
      </w:r>
      <w:r w:rsidRPr="00F34157">
        <w:rPr>
          <w:b/>
          <w:bCs/>
        </w:rPr>
        <w:t>56,</w:t>
      </w:r>
      <w:r w:rsidRPr="00F34157">
        <w:t xml:space="preserve"> 1281–1296 (2011).</w:t>
      </w:r>
    </w:p>
    <w:p w14:paraId="2CEF7824" w14:textId="77777777" w:rsidR="00EE5247" w:rsidRPr="00F34157" w:rsidRDefault="00EE5247" w:rsidP="00EE5247">
      <w:pPr>
        <w:pStyle w:val="Bibliography"/>
      </w:pPr>
      <w:r w:rsidRPr="00F34157">
        <w:t>16.</w:t>
      </w:r>
      <w:r w:rsidRPr="00F34157">
        <w:tab/>
        <w:t xml:space="preserve">Yan, N. D., Leung, B., Lewis, M. A. &amp; Peacor, S. D. The spread, establishment and impacts of the spiny water flea, Bythotrephes longimanus, in temperate North America: a synopsis of the special issue. </w:t>
      </w:r>
      <w:r w:rsidRPr="00F34157">
        <w:rPr>
          <w:i/>
          <w:iCs/>
        </w:rPr>
        <w:t>Biol. Invasions</w:t>
      </w:r>
      <w:r w:rsidRPr="00F34157">
        <w:t xml:space="preserve"> </w:t>
      </w:r>
      <w:r w:rsidRPr="00F34157">
        <w:rPr>
          <w:b/>
          <w:bCs/>
        </w:rPr>
        <w:t>13,</w:t>
      </w:r>
      <w:r w:rsidRPr="00F34157">
        <w:t xml:space="preserve"> 2423–2432 (2011).</w:t>
      </w:r>
    </w:p>
    <w:p w14:paraId="79E0BB0A" w14:textId="77777777" w:rsidR="00EE5247" w:rsidRPr="00F34157" w:rsidRDefault="00EE5247" w:rsidP="00EE5247">
      <w:pPr>
        <w:pStyle w:val="Bibliography"/>
      </w:pPr>
      <w:r w:rsidRPr="00F34157">
        <w:t>17.</w:t>
      </w:r>
      <w:r w:rsidRPr="00F34157">
        <w:tab/>
        <w:t xml:space="preserve">Strecker, A. L. &amp; Arnott, S. E. Invasive predator, Bythotrephes, has varied effects on ecosystem   function in freshwater lakes. </w:t>
      </w:r>
      <w:r w:rsidRPr="00F34157">
        <w:rPr>
          <w:i/>
          <w:iCs/>
        </w:rPr>
        <w:t>Ecosystems</w:t>
      </w:r>
      <w:r w:rsidRPr="00F34157">
        <w:t xml:space="preserve"> </w:t>
      </w:r>
      <w:r w:rsidRPr="00F34157">
        <w:rPr>
          <w:b/>
          <w:bCs/>
        </w:rPr>
        <w:t>11,</w:t>
      </w:r>
      <w:r w:rsidRPr="00F34157">
        <w:t xml:space="preserve"> 490–503 (2008).</w:t>
      </w:r>
    </w:p>
    <w:p w14:paraId="3D747727" w14:textId="77777777" w:rsidR="00EE5247" w:rsidRPr="00F34157" w:rsidRDefault="00EE5247" w:rsidP="00EE5247">
      <w:pPr>
        <w:pStyle w:val="Bibliography"/>
      </w:pPr>
      <w:r w:rsidRPr="00F34157">
        <w:lastRenderedPageBreak/>
        <w:t>18.</w:t>
      </w:r>
      <w:r w:rsidRPr="00F34157">
        <w:tab/>
        <w:t xml:space="preserve">Branstrator, D. K., Brown, M. E., Shannon, L. J., Thabes, M. &amp; Heimgartner, K. Range expansion of Bythotrephes longimanus in North America: Evaluating   habitat characteristics in the spread of an exotic zooplankter. </w:t>
      </w:r>
      <w:r w:rsidRPr="00F34157">
        <w:rPr>
          <w:i/>
          <w:iCs/>
        </w:rPr>
        <w:t>Biol. Invasions</w:t>
      </w:r>
      <w:r w:rsidRPr="00F34157">
        <w:t xml:space="preserve"> </w:t>
      </w:r>
      <w:r w:rsidRPr="00F34157">
        <w:rPr>
          <w:b/>
          <w:bCs/>
        </w:rPr>
        <w:t>8,</w:t>
      </w:r>
      <w:r w:rsidRPr="00F34157">
        <w:t xml:space="preserve"> 1367–1379 (2006).</w:t>
      </w:r>
    </w:p>
    <w:p w14:paraId="380BEB36" w14:textId="77777777" w:rsidR="00EE5247" w:rsidRPr="00F34157" w:rsidRDefault="00EE5247" w:rsidP="00EE5247">
      <w:pPr>
        <w:pStyle w:val="Bibliography"/>
      </w:pPr>
      <w:r w:rsidRPr="00F34157">
        <w:t>19.</w:t>
      </w:r>
      <w:r w:rsidRPr="00F34157">
        <w:tab/>
        <w:t xml:space="preserve">Potapov, A., Muirhead, J., Yan, N., Lele, S. &amp; Lewis, M. Models of lake invasibility by Bythotrephes longimanus, a non-indigenous zooplankton. </w:t>
      </w:r>
      <w:r w:rsidRPr="00F34157">
        <w:rPr>
          <w:i/>
          <w:iCs/>
        </w:rPr>
        <w:t>Biol. Invasions</w:t>
      </w:r>
      <w:r w:rsidRPr="00F34157">
        <w:t xml:space="preserve"> </w:t>
      </w:r>
      <w:r w:rsidRPr="00F34157">
        <w:rPr>
          <w:b/>
          <w:bCs/>
        </w:rPr>
        <w:t>13,</w:t>
      </w:r>
      <w:r w:rsidRPr="00F34157">
        <w:t xml:space="preserve"> 2459–2476 (2011).</w:t>
      </w:r>
    </w:p>
    <w:p w14:paraId="3C4B3A81" w14:textId="77777777" w:rsidR="00EE5247" w:rsidRPr="00F34157" w:rsidRDefault="00EE5247" w:rsidP="00EE5247">
      <w:pPr>
        <w:pStyle w:val="Bibliography"/>
      </w:pPr>
      <w:r w:rsidRPr="00F34157">
        <w:t>20.</w:t>
      </w:r>
      <w:r w:rsidRPr="00F34157">
        <w:tab/>
        <w:t xml:space="preserve">Johnson, T. &amp; Kitchell, J. Long-term changes in zooplanktivorous fish community composition: implications for food webs. </w:t>
      </w:r>
      <w:r w:rsidRPr="00F34157">
        <w:rPr>
          <w:i/>
          <w:iCs/>
        </w:rPr>
        <w:t>Can. J. Fish. Aquat. Sci.</w:t>
      </w:r>
      <w:r w:rsidRPr="00F34157">
        <w:t xml:space="preserve"> </w:t>
      </w:r>
      <w:r w:rsidRPr="00F34157">
        <w:rPr>
          <w:b/>
          <w:bCs/>
        </w:rPr>
        <w:t>53,</w:t>
      </w:r>
      <w:r w:rsidRPr="00F34157">
        <w:t xml:space="preserve"> 2792–2803 (1996).</w:t>
      </w:r>
    </w:p>
    <w:p w14:paraId="2D103012" w14:textId="77777777" w:rsidR="00EE5247" w:rsidRPr="00F34157" w:rsidRDefault="00EE5247" w:rsidP="00EE5247">
      <w:pPr>
        <w:pStyle w:val="Bibliography"/>
      </w:pPr>
      <w:r w:rsidRPr="00F34157">
        <w:t>21.</w:t>
      </w:r>
      <w:r w:rsidRPr="00F34157">
        <w:tab/>
        <w:t xml:space="preserve">Lathrop, R. </w:t>
      </w:r>
      <w:r w:rsidRPr="00F34157">
        <w:rPr>
          <w:i/>
          <w:iCs/>
        </w:rPr>
        <w:t>et al.</w:t>
      </w:r>
      <w:r w:rsidRPr="00F34157">
        <w:t xml:space="preserve"> Stocking piscivores to improve fishing and water clarity: a synthesis of the Lake Mendota biomanipulation project. </w:t>
      </w:r>
      <w:r w:rsidRPr="00F34157">
        <w:rPr>
          <w:i/>
          <w:iCs/>
        </w:rPr>
        <w:t>Freshw. Biol.</w:t>
      </w:r>
      <w:r w:rsidRPr="00F34157">
        <w:t xml:space="preserve"> </w:t>
      </w:r>
      <w:r w:rsidRPr="00F34157">
        <w:rPr>
          <w:b/>
          <w:bCs/>
        </w:rPr>
        <w:t>47,</w:t>
      </w:r>
      <w:r w:rsidRPr="00F34157">
        <w:t xml:space="preserve"> 2410–2424 (2002).</w:t>
      </w:r>
    </w:p>
    <w:p w14:paraId="6110E7C5" w14:textId="77777777" w:rsidR="00EE5247" w:rsidRPr="00F34157" w:rsidRDefault="00EE5247" w:rsidP="00EE5247">
      <w:pPr>
        <w:pStyle w:val="Bibliography"/>
      </w:pPr>
      <w:r w:rsidRPr="00F34157">
        <w:t>22.</w:t>
      </w:r>
      <w:r w:rsidRPr="00F34157">
        <w:tab/>
        <w:t xml:space="preserve">Lathrop, R. C. &amp; Carpenter, S. R. Water quality implications from three decades of phosphorus loads and trophic dynamics in the Yahara chain of lakes. </w:t>
      </w:r>
      <w:r w:rsidRPr="00F34157">
        <w:rPr>
          <w:i/>
          <w:iCs/>
        </w:rPr>
        <w:t>Inland Waters</w:t>
      </w:r>
      <w:r w:rsidRPr="00F34157">
        <w:t xml:space="preserve"> </w:t>
      </w:r>
      <w:r w:rsidRPr="00F34157">
        <w:rPr>
          <w:b/>
          <w:bCs/>
        </w:rPr>
        <w:t>4,</w:t>
      </w:r>
      <w:r w:rsidRPr="00F34157">
        <w:t xml:space="preserve"> 1–14 (2014).</w:t>
      </w:r>
    </w:p>
    <w:p w14:paraId="60986A79" w14:textId="77777777" w:rsidR="00EE5247" w:rsidRPr="00F34157" w:rsidRDefault="00EE5247" w:rsidP="00EE5247">
      <w:pPr>
        <w:pStyle w:val="Bibliography"/>
      </w:pPr>
      <w:r w:rsidRPr="00F34157">
        <w:t>23.</w:t>
      </w:r>
      <w:r w:rsidRPr="00F34157">
        <w:tab/>
        <w:t xml:space="preserve">Michael, H., Boyle, K. &amp; Bouchard, R. </w:t>
      </w:r>
      <w:r w:rsidRPr="00F34157">
        <w:rPr>
          <w:i/>
          <w:iCs/>
        </w:rPr>
        <w:t>Water quality affects property prices: a case study of selected Maine lakes. Maine Agricultural and Forest Experiment Station</w:t>
      </w:r>
      <w:r w:rsidRPr="00F34157">
        <w:t>. (University of Maine, Orono, 1996).</w:t>
      </w:r>
    </w:p>
    <w:p w14:paraId="5239921A" w14:textId="77777777" w:rsidR="00EE5247" w:rsidRPr="00F34157" w:rsidRDefault="00EE5247" w:rsidP="00EE5247">
      <w:pPr>
        <w:pStyle w:val="Bibliography"/>
      </w:pPr>
      <w:r w:rsidRPr="00F34157">
        <w:t>24.</w:t>
      </w:r>
      <w:r w:rsidRPr="00F34157">
        <w:tab/>
        <w:t xml:space="preserve">Krysel, C., Boyer, E. M., Parson, C. &amp; Welle, P. </w:t>
      </w:r>
      <w:r w:rsidRPr="00F34157">
        <w:rPr>
          <w:i/>
          <w:iCs/>
        </w:rPr>
        <w:t>Lakeshore property values and water quality: evidence from property sales in the Mississippi headwaters region.</w:t>
      </w:r>
      <w:r w:rsidRPr="00F34157">
        <w:t xml:space="preserve"> (Missisippi Headwaters Board, 2003).</w:t>
      </w:r>
    </w:p>
    <w:p w14:paraId="05A6C9BD" w14:textId="77777777" w:rsidR="00EE5247" w:rsidRPr="00F34157" w:rsidRDefault="00EE5247" w:rsidP="00EE5247">
      <w:pPr>
        <w:pStyle w:val="Bibliography"/>
      </w:pPr>
      <w:r w:rsidRPr="00F34157">
        <w:t>25.</w:t>
      </w:r>
      <w:r w:rsidRPr="00F34157">
        <w:tab/>
        <w:t xml:space="preserve">Stumborg, B. E., Baerenklau, K. A. &amp; Bishop, R. C. Nonpoint Source Pollution and Present Values: A Contingent Valuation Study of Lake Mendota. </w:t>
      </w:r>
      <w:r w:rsidRPr="00F34157">
        <w:rPr>
          <w:i/>
          <w:iCs/>
        </w:rPr>
        <w:t>Rev. Agric. Econ.</w:t>
      </w:r>
      <w:r w:rsidRPr="00F34157">
        <w:t xml:space="preserve"> </w:t>
      </w:r>
      <w:r w:rsidRPr="00F34157">
        <w:rPr>
          <w:b/>
          <w:bCs/>
        </w:rPr>
        <w:t>23,</w:t>
      </w:r>
      <w:r w:rsidRPr="00F34157">
        <w:t xml:space="preserve"> 120–132 (2001).</w:t>
      </w:r>
    </w:p>
    <w:p w14:paraId="6A96066A" w14:textId="77777777" w:rsidR="00EE5247" w:rsidRPr="00F34157" w:rsidRDefault="00EE5247" w:rsidP="00EE5247">
      <w:pPr>
        <w:pStyle w:val="Bibliography"/>
      </w:pPr>
      <w:r w:rsidRPr="00F34157">
        <w:t>26.</w:t>
      </w:r>
      <w:r w:rsidRPr="00F34157">
        <w:tab/>
        <w:t xml:space="preserve">Terborgh, J. &amp; Estes, J. A. </w:t>
      </w:r>
      <w:r w:rsidRPr="00F34157">
        <w:rPr>
          <w:i/>
          <w:iCs/>
        </w:rPr>
        <w:t>Trophic Cascades: Predators, Prey, and the Changing Dynamics of Nature</w:t>
      </w:r>
      <w:r w:rsidRPr="00F34157">
        <w:t>. (Island Press, 2010).</w:t>
      </w:r>
    </w:p>
    <w:p w14:paraId="1880F789" w14:textId="77777777" w:rsidR="00EE5247" w:rsidRPr="00F34157" w:rsidRDefault="00EE5247" w:rsidP="00EE5247">
      <w:pPr>
        <w:pStyle w:val="Bibliography"/>
      </w:pPr>
      <w:r w:rsidRPr="00F34157">
        <w:t>27.</w:t>
      </w:r>
      <w:r w:rsidRPr="00F34157">
        <w:tab/>
        <w:t xml:space="preserve">Lathrop, R. C. Madison Wisconsin Lakes Zooplankton 1976 - 1994 (Dataset). </w:t>
      </w:r>
      <w:r w:rsidRPr="00F34157">
        <w:rPr>
          <w:i/>
          <w:iCs/>
        </w:rPr>
        <w:t>North Temperate Lakes Long-Term Ecological Research</w:t>
      </w:r>
      <w:r w:rsidRPr="00F34157">
        <w:t xml:space="preserve"> (2015). at &lt;https://lter.limnology.wisc.edu/dataset/madison-wisonsin-lakes-zooplankton-1976-1994&gt;</w:t>
      </w:r>
    </w:p>
    <w:p w14:paraId="26A5133F" w14:textId="77777777" w:rsidR="00EE5247" w:rsidRPr="00F34157" w:rsidRDefault="00EE5247" w:rsidP="00EE5247">
      <w:pPr>
        <w:pStyle w:val="Bibliography"/>
      </w:pPr>
      <w:r w:rsidRPr="00F34157">
        <w:t>28.</w:t>
      </w:r>
      <w:r w:rsidRPr="00F34157">
        <w:tab/>
        <w:t xml:space="preserve">Holmes, E. E., Ward, E. J. &amp; Wills, K. MARSS: Multivariate Autoregressive State-space Models for Analyzing Time-series Data. </w:t>
      </w:r>
      <w:r w:rsidRPr="00F34157">
        <w:rPr>
          <w:i/>
          <w:iCs/>
        </w:rPr>
        <w:t>R J.</w:t>
      </w:r>
      <w:r w:rsidRPr="00F34157">
        <w:t xml:space="preserve"> </w:t>
      </w:r>
      <w:r w:rsidRPr="00F34157">
        <w:rPr>
          <w:b/>
          <w:bCs/>
        </w:rPr>
        <w:t>4,</w:t>
      </w:r>
      <w:r w:rsidRPr="00F34157">
        <w:t xml:space="preserve"> 11–19 (2012).</w:t>
      </w:r>
    </w:p>
    <w:p w14:paraId="25E00E83" w14:textId="77777777" w:rsidR="00EE5247" w:rsidRPr="00F34157" w:rsidRDefault="00EE5247" w:rsidP="00EE5247">
      <w:pPr>
        <w:pStyle w:val="Bibliography"/>
      </w:pPr>
      <w:r w:rsidRPr="00F34157">
        <w:t>29.</w:t>
      </w:r>
      <w:r w:rsidRPr="00F34157">
        <w:tab/>
      </w:r>
      <w:r w:rsidRPr="00F34157">
        <w:rPr>
          <w:i/>
          <w:iCs/>
        </w:rPr>
        <w:t>Yahara CLEAN engineering report</w:t>
      </w:r>
      <w:r w:rsidRPr="00F34157">
        <w:t>. (Strand Associates, Inc., 2013).</w:t>
      </w:r>
    </w:p>
    <w:p w14:paraId="1F997B07" w14:textId="77777777" w:rsidR="00EE5247" w:rsidRPr="00F34157" w:rsidRDefault="00EE5247" w:rsidP="00EE5247">
      <w:pPr>
        <w:pStyle w:val="Bibliography"/>
      </w:pPr>
      <w:r w:rsidRPr="00F34157">
        <w:t>30.</w:t>
      </w:r>
      <w:r w:rsidRPr="00F34157">
        <w:tab/>
        <w:t xml:space="preserve">Lodge, D. M. </w:t>
      </w:r>
      <w:r w:rsidRPr="00F34157">
        <w:rPr>
          <w:i/>
          <w:iCs/>
        </w:rPr>
        <w:t>et al.</w:t>
      </w:r>
      <w:r w:rsidRPr="00F34157">
        <w:t xml:space="preserve"> Biological invasions: Recommendations for US policy and management. </w:t>
      </w:r>
      <w:r w:rsidRPr="00F34157">
        <w:rPr>
          <w:i/>
          <w:iCs/>
        </w:rPr>
        <w:t>Ecol. Appl.</w:t>
      </w:r>
      <w:r w:rsidRPr="00F34157">
        <w:t xml:space="preserve"> </w:t>
      </w:r>
      <w:r w:rsidRPr="00F34157">
        <w:rPr>
          <w:b/>
          <w:bCs/>
        </w:rPr>
        <w:t>16,</w:t>
      </w:r>
      <w:r w:rsidRPr="00F34157">
        <w:t xml:space="preserve"> 2035–2054 (2006).</w:t>
      </w:r>
    </w:p>
    <w:p w14:paraId="5E11814D" w14:textId="77777777" w:rsidR="00EE5247" w:rsidRPr="00F34157" w:rsidRDefault="00EE5247" w:rsidP="00EE5247">
      <w:pPr>
        <w:pStyle w:val="Bibliography"/>
      </w:pPr>
      <w:r w:rsidRPr="00F34157">
        <w:t>31.</w:t>
      </w:r>
      <w:r w:rsidRPr="00F34157">
        <w:tab/>
        <w:t xml:space="preserve">Leung, B. </w:t>
      </w:r>
      <w:r w:rsidRPr="00F34157">
        <w:rPr>
          <w:i/>
          <w:iCs/>
        </w:rPr>
        <w:t>et al.</w:t>
      </w:r>
      <w:r w:rsidRPr="00F34157">
        <w:t xml:space="preserve"> An ounce of prevention or a pound of cure: bioeconomic risk analysis of   invasive species. </w:t>
      </w:r>
      <w:r w:rsidRPr="00F34157">
        <w:rPr>
          <w:i/>
          <w:iCs/>
        </w:rPr>
        <w:t>Proc. R. Soc. Lond. Ser. B-Biol. Sci.</w:t>
      </w:r>
      <w:r w:rsidRPr="00F34157">
        <w:t xml:space="preserve"> </w:t>
      </w:r>
      <w:r w:rsidRPr="00F34157">
        <w:rPr>
          <w:b/>
          <w:bCs/>
        </w:rPr>
        <w:t>269,</w:t>
      </w:r>
      <w:r w:rsidRPr="00F34157">
        <w:t xml:space="preserve"> 2407–2413 (2002).</w:t>
      </w:r>
    </w:p>
    <w:p w14:paraId="609A44EE" w14:textId="77777777" w:rsidR="00EE5247" w:rsidRPr="00F34157" w:rsidRDefault="00EE5247" w:rsidP="00EE5247">
      <w:pPr>
        <w:pStyle w:val="Bibliography"/>
      </w:pPr>
      <w:r w:rsidRPr="00F34157">
        <w:t>32.</w:t>
      </w:r>
      <w:r w:rsidRPr="00F34157">
        <w:tab/>
        <w:t xml:space="preserve">Taylor, J. C. &amp; Roach, J. L. Ocean Shipping in the Great Lakes: An Analysis of Industry Transportation Cost Savings. </w:t>
      </w:r>
      <w:r w:rsidRPr="00F34157">
        <w:rPr>
          <w:i/>
          <w:iCs/>
        </w:rPr>
        <w:t>Transp. J.</w:t>
      </w:r>
      <w:r w:rsidRPr="00F34157">
        <w:t xml:space="preserve"> </w:t>
      </w:r>
      <w:r w:rsidRPr="00F34157">
        <w:rPr>
          <w:b/>
          <w:bCs/>
        </w:rPr>
        <w:t>48,</w:t>
      </w:r>
      <w:r w:rsidRPr="00F34157">
        <w:t xml:space="preserve"> 53–67 (2009).</w:t>
      </w:r>
    </w:p>
    <w:p w14:paraId="19535620" w14:textId="77777777" w:rsidR="00EE5247" w:rsidRPr="00F34157" w:rsidRDefault="00EE5247" w:rsidP="00EE5247">
      <w:pPr>
        <w:pStyle w:val="Bibliography"/>
      </w:pPr>
      <w:r w:rsidRPr="00F34157">
        <w:t>33.</w:t>
      </w:r>
      <w:r w:rsidRPr="00F34157">
        <w:tab/>
        <w:t xml:space="preserve">Keeler, B. L. </w:t>
      </w:r>
      <w:r w:rsidRPr="00F34157">
        <w:rPr>
          <w:i/>
          <w:iCs/>
        </w:rPr>
        <w:t>et al.</w:t>
      </w:r>
      <w:r w:rsidRPr="00F34157">
        <w:t xml:space="preserve"> Linking water quality and well-being for improved assessment and valuation of ecosystem services. </w:t>
      </w:r>
      <w:r w:rsidRPr="00F34157">
        <w:rPr>
          <w:i/>
          <w:iCs/>
        </w:rPr>
        <w:t>Proc. Natl. Acad. Sci.</w:t>
      </w:r>
      <w:r w:rsidRPr="00F34157">
        <w:t xml:space="preserve"> </w:t>
      </w:r>
      <w:r w:rsidRPr="00F34157">
        <w:rPr>
          <w:b/>
          <w:bCs/>
        </w:rPr>
        <w:t>109,</w:t>
      </w:r>
      <w:r w:rsidRPr="00F34157">
        <w:t xml:space="preserve"> 18619–18624 (2012).</w:t>
      </w:r>
    </w:p>
    <w:p w14:paraId="2D1BC02D" w14:textId="77777777" w:rsidR="00EE5247" w:rsidRPr="00F34157" w:rsidRDefault="00EE5247" w:rsidP="00EE5247">
      <w:pPr>
        <w:pStyle w:val="Bibliography"/>
      </w:pPr>
      <w:r w:rsidRPr="00F34157">
        <w:lastRenderedPageBreak/>
        <w:t>34.</w:t>
      </w:r>
      <w:r w:rsidRPr="00F34157">
        <w:tab/>
        <w:t xml:space="preserve">Schaefer, M., Goldman, E., Bartuska, A. M., Sutton-Grier, A. &amp; Lubchenco, J. Nature as capital: Advancing and incorporating ecosystem services in United States federal policies and programs. </w:t>
      </w:r>
      <w:r w:rsidRPr="00F34157">
        <w:rPr>
          <w:i/>
          <w:iCs/>
        </w:rPr>
        <w:t>Proc. Natl. Acad. Sci.</w:t>
      </w:r>
      <w:r w:rsidRPr="00F34157">
        <w:t xml:space="preserve"> </w:t>
      </w:r>
      <w:r w:rsidRPr="00F34157">
        <w:rPr>
          <w:b/>
          <w:bCs/>
        </w:rPr>
        <w:t>112,</w:t>
      </w:r>
      <w:r w:rsidRPr="00F34157">
        <w:t xml:space="preserve"> 7383–7389 (2015).</w:t>
      </w:r>
    </w:p>
    <w:p w14:paraId="1CA83AD1" w14:textId="77777777" w:rsidR="00EE5247" w:rsidRPr="00F34157" w:rsidRDefault="00EE5247" w:rsidP="00EE5247">
      <w:pPr>
        <w:pStyle w:val="Bibliography"/>
      </w:pPr>
      <w:r w:rsidRPr="00F34157">
        <w:t>35.</w:t>
      </w:r>
      <w:r w:rsidRPr="00F34157">
        <w:tab/>
        <w:t xml:space="preserve">McCauley, E. in </w:t>
      </w:r>
      <w:r w:rsidRPr="00F34157">
        <w:rPr>
          <w:i/>
          <w:iCs/>
        </w:rPr>
        <w:t>A manual on methods for the assessment of secondary productivity in fresh waters</w:t>
      </w:r>
      <w:r w:rsidRPr="00F34157">
        <w:t xml:space="preserve"> 228–265 (Blackwell Scientific Publications, 1984).</w:t>
      </w:r>
    </w:p>
    <w:p w14:paraId="7CE52DCD" w14:textId="77777777" w:rsidR="00EE5247" w:rsidRPr="00F34157" w:rsidRDefault="00EE5247" w:rsidP="00EE5247">
      <w:pPr>
        <w:pStyle w:val="Bibliography"/>
      </w:pPr>
      <w:r w:rsidRPr="00F34157">
        <w:t>36.</w:t>
      </w:r>
      <w:r w:rsidRPr="00F34157">
        <w:tab/>
        <w:t xml:space="preserve">Wood, S. </w:t>
      </w:r>
      <w:r w:rsidRPr="00F34157">
        <w:rPr>
          <w:i/>
          <w:iCs/>
        </w:rPr>
        <w:t>mgcv: Mixed GAM Computation Vehicle with GCV/AIC/REML Smoothness Estimation</w:t>
      </w:r>
      <w:r w:rsidRPr="00F34157">
        <w:t>. (2015). at &lt;https://cran.r-project.org/web/packages/mgcv/index.html&gt;</w:t>
      </w:r>
    </w:p>
    <w:p w14:paraId="7F1B156B" w14:textId="77777777" w:rsidR="00EE5247" w:rsidRDefault="00EE5247" w:rsidP="00EE5247">
      <w:pPr>
        <w:spacing w:line="480" w:lineRule="auto"/>
      </w:pPr>
      <w:r>
        <w:fldChar w:fldCharType="end"/>
      </w:r>
      <w:r>
        <w:br w:type="page"/>
      </w:r>
    </w:p>
    <w:p w14:paraId="4D11A521" w14:textId="77777777" w:rsidR="00EE5247" w:rsidRDefault="00EE5247" w:rsidP="00EE5247">
      <w:pPr>
        <w:spacing w:line="480" w:lineRule="auto"/>
      </w:pPr>
      <w:r>
        <w:rPr>
          <w:noProof/>
        </w:rPr>
        <w:lastRenderedPageBreak/>
        <w:drawing>
          <wp:inline distT="0" distB="0" distL="0" distR="0" wp14:anchorId="4B40DD7C" wp14:editId="127DCB98">
            <wp:extent cx="6407201" cy="21105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Final_MendotaSummary2.pdf"/>
                    <pic:cNvPicPr/>
                  </pic:nvPicPr>
                  <pic:blipFill>
                    <a:blip r:embed="rId22">
                      <a:extLst>
                        <a:ext uri="{28A0092B-C50C-407E-A947-70E740481C1C}">
                          <a14:useLocalDpi xmlns:a14="http://schemas.microsoft.com/office/drawing/2010/main" val="0"/>
                        </a:ext>
                      </a:extLst>
                    </a:blip>
                    <a:stretch>
                      <a:fillRect/>
                    </a:stretch>
                  </pic:blipFill>
                  <pic:spPr>
                    <a:xfrm>
                      <a:off x="0" y="0"/>
                      <a:ext cx="6407201" cy="2110519"/>
                    </a:xfrm>
                    <a:prstGeom prst="rect">
                      <a:avLst/>
                    </a:prstGeom>
                  </pic:spPr>
                </pic:pic>
              </a:graphicData>
            </a:graphic>
          </wp:inline>
        </w:drawing>
      </w:r>
    </w:p>
    <w:p w14:paraId="38F8B52F" w14:textId="77777777" w:rsidR="00EE5247" w:rsidRDefault="00EE5247" w:rsidP="00EE5247">
      <w:pPr>
        <w:spacing w:line="480" w:lineRule="auto"/>
      </w:pPr>
    </w:p>
    <w:p w14:paraId="384BAFE1" w14:textId="77777777" w:rsidR="00EE5247" w:rsidRDefault="00EE5247" w:rsidP="00EE5247">
      <w:pPr>
        <w:spacing w:line="480" w:lineRule="auto"/>
      </w:pPr>
    </w:p>
    <w:p w14:paraId="4AA7227B" w14:textId="77777777" w:rsidR="00EE5247" w:rsidRDefault="00EE5247" w:rsidP="00EE5247">
      <w:pPr>
        <w:spacing w:line="480" w:lineRule="auto"/>
      </w:pPr>
    </w:p>
    <w:p w14:paraId="08E29710" w14:textId="77777777" w:rsidR="00EE5247" w:rsidRDefault="00EE5247" w:rsidP="00EE5247">
      <w:pPr>
        <w:spacing w:line="480" w:lineRule="auto"/>
      </w:pPr>
    </w:p>
    <w:p w14:paraId="77C9F423" w14:textId="77777777" w:rsidR="00EE5247" w:rsidRDefault="00EE5247" w:rsidP="00EE5247">
      <w:pPr>
        <w:spacing w:line="480" w:lineRule="auto"/>
      </w:pPr>
    </w:p>
    <w:p w14:paraId="19A7CCD1" w14:textId="77777777" w:rsidR="00EE5247" w:rsidRDefault="00EE5247" w:rsidP="00EE5247">
      <w:pPr>
        <w:spacing w:line="480" w:lineRule="auto"/>
      </w:pPr>
    </w:p>
    <w:p w14:paraId="55692931" w14:textId="77777777" w:rsidR="00EE5247" w:rsidRDefault="00EE5247" w:rsidP="00EE5247">
      <w:pPr>
        <w:spacing w:line="480" w:lineRule="auto"/>
      </w:pPr>
    </w:p>
    <w:p w14:paraId="3E5E30A4" w14:textId="77777777" w:rsidR="00EE5247" w:rsidRDefault="00EE5247" w:rsidP="00EE5247">
      <w:pPr>
        <w:spacing w:line="480" w:lineRule="auto"/>
      </w:pPr>
    </w:p>
    <w:p w14:paraId="3E7CD660" w14:textId="77777777" w:rsidR="00EE5247" w:rsidRDefault="00EE5247" w:rsidP="00EE5247">
      <w:pPr>
        <w:spacing w:line="480" w:lineRule="auto"/>
      </w:pPr>
    </w:p>
    <w:p w14:paraId="5638EFB3" w14:textId="77777777" w:rsidR="00EE5247" w:rsidRDefault="00EE5247" w:rsidP="00EE5247">
      <w:pPr>
        <w:spacing w:line="480" w:lineRule="auto"/>
      </w:pPr>
    </w:p>
    <w:p w14:paraId="61508329" w14:textId="77777777" w:rsidR="00EE5247" w:rsidRDefault="00EE5247" w:rsidP="00EE5247">
      <w:pPr>
        <w:spacing w:line="480" w:lineRule="auto"/>
      </w:pPr>
    </w:p>
    <w:p w14:paraId="68C4B3A1" w14:textId="77777777" w:rsidR="00EE5247" w:rsidRDefault="00EE5247" w:rsidP="00EE5247">
      <w:pPr>
        <w:spacing w:line="480" w:lineRule="auto"/>
      </w:pPr>
    </w:p>
    <w:p w14:paraId="5D2C0B5E" w14:textId="77777777" w:rsidR="00EE5247" w:rsidRDefault="00EE5247" w:rsidP="00EE5247">
      <w:pPr>
        <w:spacing w:line="480" w:lineRule="auto"/>
      </w:pPr>
      <w:r>
        <w:rPr>
          <w:noProof/>
        </w:rPr>
        <w:lastRenderedPageBreak/>
        <w:drawing>
          <wp:inline distT="0" distB="0" distL="0" distR="0" wp14:anchorId="7EF84F1F" wp14:editId="17004E5A">
            <wp:extent cx="4096512" cy="26463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MARSS-Simple2_8.26.15.png"/>
                    <pic:cNvPicPr/>
                  </pic:nvPicPr>
                  <pic:blipFill>
                    <a:blip r:embed="rId23">
                      <a:extLst>
                        <a:ext uri="{28A0092B-C50C-407E-A947-70E740481C1C}">
                          <a14:useLocalDpi xmlns:a14="http://schemas.microsoft.com/office/drawing/2010/main" val="0"/>
                        </a:ext>
                      </a:extLst>
                    </a:blip>
                    <a:stretch>
                      <a:fillRect/>
                    </a:stretch>
                  </pic:blipFill>
                  <pic:spPr>
                    <a:xfrm>
                      <a:off x="0" y="0"/>
                      <a:ext cx="4096512" cy="2646351"/>
                    </a:xfrm>
                    <a:prstGeom prst="rect">
                      <a:avLst/>
                    </a:prstGeom>
                  </pic:spPr>
                </pic:pic>
              </a:graphicData>
            </a:graphic>
          </wp:inline>
        </w:drawing>
      </w:r>
    </w:p>
    <w:p w14:paraId="7DBCF3DB" w14:textId="77777777" w:rsidR="00EE5247" w:rsidRDefault="00EE5247" w:rsidP="00EE5247">
      <w:r>
        <w:br w:type="page"/>
      </w:r>
    </w:p>
    <w:p w14:paraId="54E4092D" w14:textId="77777777" w:rsidR="00EE5247" w:rsidRDefault="00EE5247" w:rsidP="00EE5247">
      <w:pPr>
        <w:spacing w:line="480" w:lineRule="auto"/>
      </w:pPr>
      <w:r>
        <w:rPr>
          <w:noProof/>
        </w:rPr>
        <w:lastRenderedPageBreak/>
        <w:drawing>
          <wp:inline distT="0" distB="0" distL="0" distR="0" wp14:anchorId="01CA905E" wp14:editId="53110611">
            <wp:extent cx="4102100" cy="18288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fortnight.simple2b_Mitigation.pdf"/>
                    <pic:cNvPicPr/>
                  </pic:nvPicPr>
                  <pic:blipFill>
                    <a:blip r:embed="rId24">
                      <a:extLst>
                        <a:ext uri="{28A0092B-C50C-407E-A947-70E740481C1C}">
                          <a14:useLocalDpi xmlns:a14="http://schemas.microsoft.com/office/drawing/2010/main" val="0"/>
                        </a:ext>
                      </a:extLst>
                    </a:blip>
                    <a:stretch>
                      <a:fillRect/>
                    </a:stretch>
                  </pic:blipFill>
                  <pic:spPr>
                    <a:xfrm>
                      <a:off x="0" y="0"/>
                      <a:ext cx="4102100" cy="1828800"/>
                    </a:xfrm>
                    <a:prstGeom prst="rect">
                      <a:avLst/>
                    </a:prstGeom>
                  </pic:spPr>
                </pic:pic>
              </a:graphicData>
            </a:graphic>
          </wp:inline>
        </w:drawing>
      </w:r>
    </w:p>
    <w:p w14:paraId="1FA71E8C" w14:textId="4517579D" w:rsidR="008D3EE6" w:rsidRPr="008D3EE6" w:rsidRDefault="008D3EE6" w:rsidP="002C18D3">
      <w:pPr>
        <w:spacing w:line="360" w:lineRule="auto"/>
        <w:ind w:left="720" w:hanging="720"/>
        <w:rPr>
          <w:rFonts w:ascii="Times New Roman" w:hAnsi="Times New Roman" w:cs="Times New Roman"/>
        </w:rPr>
      </w:pPr>
    </w:p>
    <w:sectPr w:rsidR="008D3EE6" w:rsidRPr="008D3EE6" w:rsidSect="008D0F75">
      <w:footerReference w:type="even" r:id="rId25"/>
      <w:footerReference w:type="default" r:id="rId2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4688B" w14:textId="77777777" w:rsidR="00970F57" w:rsidRDefault="00970F57" w:rsidP="0009137F">
      <w:r>
        <w:separator/>
      </w:r>
    </w:p>
  </w:endnote>
  <w:endnote w:type="continuationSeparator" w:id="0">
    <w:p w14:paraId="558C8568" w14:textId="77777777" w:rsidR="00970F57" w:rsidRDefault="00970F57" w:rsidP="0009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01819" w14:textId="77777777" w:rsidR="008478EF" w:rsidRDefault="008478EF" w:rsidP="00C434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793846" w14:textId="77777777" w:rsidR="008478EF" w:rsidRDefault="008478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93C25" w14:textId="77777777" w:rsidR="008478EF" w:rsidRDefault="008478EF" w:rsidP="00C434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63E9">
      <w:rPr>
        <w:rStyle w:val="PageNumber"/>
        <w:noProof/>
      </w:rPr>
      <w:t>1</w:t>
    </w:r>
    <w:r>
      <w:rPr>
        <w:rStyle w:val="PageNumber"/>
      </w:rPr>
      <w:fldChar w:fldCharType="end"/>
    </w:r>
  </w:p>
  <w:p w14:paraId="6B351D7F" w14:textId="77777777" w:rsidR="008478EF" w:rsidRDefault="008478EF" w:rsidP="0009137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F9001" w14:textId="77777777" w:rsidR="00970F57" w:rsidRDefault="00970F57" w:rsidP="0009137F">
      <w:r>
        <w:separator/>
      </w:r>
    </w:p>
  </w:footnote>
  <w:footnote w:type="continuationSeparator" w:id="0">
    <w:p w14:paraId="18E9195E" w14:textId="77777777" w:rsidR="00970F57" w:rsidRDefault="00970F57" w:rsidP="000913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13376"/>
    <w:multiLevelType w:val="hybridMultilevel"/>
    <w:tmpl w:val="09E6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0F3F8A"/>
    <w:multiLevelType w:val="hybridMultilevel"/>
    <w:tmpl w:val="8A0C8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C3171C"/>
    <w:multiLevelType w:val="hybridMultilevel"/>
    <w:tmpl w:val="E578D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923519"/>
    <w:multiLevelType w:val="hybridMultilevel"/>
    <w:tmpl w:val="5C780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255zezem2dw0qefsx4p2esde2tste2xrd59&quot;&gt;My EndNote Library&lt;record-ids&gt;&lt;item&gt;196&lt;/item&gt;&lt;/record-ids&gt;&lt;/item&gt;&lt;/Libraries&gt;"/>
  </w:docVars>
  <w:rsids>
    <w:rsidRoot w:val="00A8651C"/>
    <w:rsid w:val="0008085A"/>
    <w:rsid w:val="000834DF"/>
    <w:rsid w:val="0009137F"/>
    <w:rsid w:val="000919E4"/>
    <w:rsid w:val="00091D3A"/>
    <w:rsid w:val="000A0FE6"/>
    <w:rsid w:val="000A3D45"/>
    <w:rsid w:val="000A773D"/>
    <w:rsid w:val="000C3894"/>
    <w:rsid w:val="000C6D56"/>
    <w:rsid w:val="000F41AC"/>
    <w:rsid w:val="00103077"/>
    <w:rsid w:val="001261BA"/>
    <w:rsid w:val="00126EE3"/>
    <w:rsid w:val="0013390A"/>
    <w:rsid w:val="00136C5B"/>
    <w:rsid w:val="00141462"/>
    <w:rsid w:val="001429B3"/>
    <w:rsid w:val="00145E8F"/>
    <w:rsid w:val="00170832"/>
    <w:rsid w:val="00181912"/>
    <w:rsid w:val="0019203F"/>
    <w:rsid w:val="001C01BC"/>
    <w:rsid w:val="001D0162"/>
    <w:rsid w:val="001E2209"/>
    <w:rsid w:val="001E61FD"/>
    <w:rsid w:val="001F0612"/>
    <w:rsid w:val="001F22E9"/>
    <w:rsid w:val="0020061B"/>
    <w:rsid w:val="002109D4"/>
    <w:rsid w:val="0021364D"/>
    <w:rsid w:val="002235DF"/>
    <w:rsid w:val="00247AA3"/>
    <w:rsid w:val="00280724"/>
    <w:rsid w:val="002A1714"/>
    <w:rsid w:val="002A24A2"/>
    <w:rsid w:val="002B420B"/>
    <w:rsid w:val="002C18D3"/>
    <w:rsid w:val="002E7D92"/>
    <w:rsid w:val="00306E73"/>
    <w:rsid w:val="00322568"/>
    <w:rsid w:val="003251D6"/>
    <w:rsid w:val="00325636"/>
    <w:rsid w:val="00326875"/>
    <w:rsid w:val="00353A2F"/>
    <w:rsid w:val="00354216"/>
    <w:rsid w:val="003649FB"/>
    <w:rsid w:val="003708A3"/>
    <w:rsid w:val="00374FBC"/>
    <w:rsid w:val="00390F48"/>
    <w:rsid w:val="00397D5B"/>
    <w:rsid w:val="003A190B"/>
    <w:rsid w:val="003A23AB"/>
    <w:rsid w:val="003A673B"/>
    <w:rsid w:val="003C69C6"/>
    <w:rsid w:val="003F3BF3"/>
    <w:rsid w:val="003F4733"/>
    <w:rsid w:val="00413671"/>
    <w:rsid w:val="00430A03"/>
    <w:rsid w:val="00434186"/>
    <w:rsid w:val="00441655"/>
    <w:rsid w:val="00443C71"/>
    <w:rsid w:val="00465898"/>
    <w:rsid w:val="004807AF"/>
    <w:rsid w:val="004810AB"/>
    <w:rsid w:val="004871A1"/>
    <w:rsid w:val="00491096"/>
    <w:rsid w:val="004A2628"/>
    <w:rsid w:val="004A48EF"/>
    <w:rsid w:val="004B1C9B"/>
    <w:rsid w:val="004C5EF6"/>
    <w:rsid w:val="004E17E4"/>
    <w:rsid w:val="004E2C24"/>
    <w:rsid w:val="004E621C"/>
    <w:rsid w:val="005026CB"/>
    <w:rsid w:val="00521335"/>
    <w:rsid w:val="00526402"/>
    <w:rsid w:val="0054264A"/>
    <w:rsid w:val="00571194"/>
    <w:rsid w:val="00572443"/>
    <w:rsid w:val="00572C34"/>
    <w:rsid w:val="005829C1"/>
    <w:rsid w:val="00587047"/>
    <w:rsid w:val="005979AA"/>
    <w:rsid w:val="00597F87"/>
    <w:rsid w:val="005B00C4"/>
    <w:rsid w:val="005B1A2E"/>
    <w:rsid w:val="005C26D4"/>
    <w:rsid w:val="005C48C7"/>
    <w:rsid w:val="00632942"/>
    <w:rsid w:val="006347DE"/>
    <w:rsid w:val="006516AC"/>
    <w:rsid w:val="006739DF"/>
    <w:rsid w:val="00675DAB"/>
    <w:rsid w:val="00676EBD"/>
    <w:rsid w:val="0068201F"/>
    <w:rsid w:val="006A0AA0"/>
    <w:rsid w:val="006A5394"/>
    <w:rsid w:val="006A6576"/>
    <w:rsid w:val="006A7D0D"/>
    <w:rsid w:val="006B2BEE"/>
    <w:rsid w:val="006E00C3"/>
    <w:rsid w:val="006E6164"/>
    <w:rsid w:val="00704491"/>
    <w:rsid w:val="0071111B"/>
    <w:rsid w:val="00713840"/>
    <w:rsid w:val="00726F85"/>
    <w:rsid w:val="007629DB"/>
    <w:rsid w:val="00765A96"/>
    <w:rsid w:val="007725EA"/>
    <w:rsid w:val="007946B9"/>
    <w:rsid w:val="007A24E2"/>
    <w:rsid w:val="007B51C3"/>
    <w:rsid w:val="007C234E"/>
    <w:rsid w:val="007D5F43"/>
    <w:rsid w:val="007F190E"/>
    <w:rsid w:val="008108E9"/>
    <w:rsid w:val="00835289"/>
    <w:rsid w:val="008478EF"/>
    <w:rsid w:val="0085596B"/>
    <w:rsid w:val="00860616"/>
    <w:rsid w:val="008964BB"/>
    <w:rsid w:val="008D0F75"/>
    <w:rsid w:val="008D3EE6"/>
    <w:rsid w:val="008D56E4"/>
    <w:rsid w:val="009205C9"/>
    <w:rsid w:val="0093157E"/>
    <w:rsid w:val="00933F29"/>
    <w:rsid w:val="009369E4"/>
    <w:rsid w:val="00946678"/>
    <w:rsid w:val="009467CC"/>
    <w:rsid w:val="00950801"/>
    <w:rsid w:val="00970C70"/>
    <w:rsid w:val="00970F57"/>
    <w:rsid w:val="00977EE8"/>
    <w:rsid w:val="0099267A"/>
    <w:rsid w:val="009A26B6"/>
    <w:rsid w:val="009A5308"/>
    <w:rsid w:val="009B789A"/>
    <w:rsid w:val="009D277E"/>
    <w:rsid w:val="009E0583"/>
    <w:rsid w:val="009E2A5E"/>
    <w:rsid w:val="009E59E0"/>
    <w:rsid w:val="009E7590"/>
    <w:rsid w:val="009F47BA"/>
    <w:rsid w:val="00A00009"/>
    <w:rsid w:val="00A00AA0"/>
    <w:rsid w:val="00A01501"/>
    <w:rsid w:val="00A14274"/>
    <w:rsid w:val="00A3310C"/>
    <w:rsid w:val="00A65866"/>
    <w:rsid w:val="00A6679A"/>
    <w:rsid w:val="00A77EE8"/>
    <w:rsid w:val="00A828A9"/>
    <w:rsid w:val="00A864BC"/>
    <w:rsid w:val="00A8651C"/>
    <w:rsid w:val="00A96771"/>
    <w:rsid w:val="00AB0A03"/>
    <w:rsid w:val="00AD04ED"/>
    <w:rsid w:val="00AD7894"/>
    <w:rsid w:val="00AF1C9E"/>
    <w:rsid w:val="00AF4FDC"/>
    <w:rsid w:val="00B06B02"/>
    <w:rsid w:val="00B26465"/>
    <w:rsid w:val="00B71745"/>
    <w:rsid w:val="00B8546A"/>
    <w:rsid w:val="00B92C37"/>
    <w:rsid w:val="00BA1F88"/>
    <w:rsid w:val="00BA7D04"/>
    <w:rsid w:val="00C00AE5"/>
    <w:rsid w:val="00C130A1"/>
    <w:rsid w:val="00C15E52"/>
    <w:rsid w:val="00C24E63"/>
    <w:rsid w:val="00C434DD"/>
    <w:rsid w:val="00C857D1"/>
    <w:rsid w:val="00CC1F9A"/>
    <w:rsid w:val="00CC303F"/>
    <w:rsid w:val="00CE1A78"/>
    <w:rsid w:val="00CE6D63"/>
    <w:rsid w:val="00CE7355"/>
    <w:rsid w:val="00D172E1"/>
    <w:rsid w:val="00D26363"/>
    <w:rsid w:val="00D55D8F"/>
    <w:rsid w:val="00D809B4"/>
    <w:rsid w:val="00DB53C1"/>
    <w:rsid w:val="00DC1623"/>
    <w:rsid w:val="00DC2ECB"/>
    <w:rsid w:val="00DE05FE"/>
    <w:rsid w:val="00DF390E"/>
    <w:rsid w:val="00E10C2D"/>
    <w:rsid w:val="00E16BB7"/>
    <w:rsid w:val="00E17BA5"/>
    <w:rsid w:val="00E417F0"/>
    <w:rsid w:val="00E427DA"/>
    <w:rsid w:val="00E95E2E"/>
    <w:rsid w:val="00EB1660"/>
    <w:rsid w:val="00EE2BC3"/>
    <w:rsid w:val="00EE5247"/>
    <w:rsid w:val="00EE6DCF"/>
    <w:rsid w:val="00EF2E13"/>
    <w:rsid w:val="00EF40CF"/>
    <w:rsid w:val="00EF73DE"/>
    <w:rsid w:val="00F45BCE"/>
    <w:rsid w:val="00F66122"/>
    <w:rsid w:val="00F67652"/>
    <w:rsid w:val="00F73DC5"/>
    <w:rsid w:val="00F763E9"/>
    <w:rsid w:val="00F80495"/>
    <w:rsid w:val="00F83570"/>
    <w:rsid w:val="00F84349"/>
    <w:rsid w:val="00F924ED"/>
    <w:rsid w:val="00FA2433"/>
    <w:rsid w:val="00FA40C7"/>
    <w:rsid w:val="00FA6B4E"/>
    <w:rsid w:val="00FF71C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147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51C"/>
    <w:pPr>
      <w:ind w:left="720"/>
      <w:contextualSpacing/>
    </w:pPr>
  </w:style>
  <w:style w:type="paragraph" w:styleId="Header">
    <w:name w:val="header"/>
    <w:basedOn w:val="Normal"/>
    <w:link w:val="HeaderChar"/>
    <w:uiPriority w:val="99"/>
    <w:unhideWhenUsed/>
    <w:rsid w:val="0009137F"/>
    <w:pPr>
      <w:tabs>
        <w:tab w:val="center" w:pos="4320"/>
        <w:tab w:val="right" w:pos="8640"/>
      </w:tabs>
    </w:pPr>
  </w:style>
  <w:style w:type="character" w:customStyle="1" w:styleId="HeaderChar">
    <w:name w:val="Header Char"/>
    <w:basedOn w:val="DefaultParagraphFont"/>
    <w:link w:val="Header"/>
    <w:uiPriority w:val="99"/>
    <w:rsid w:val="0009137F"/>
  </w:style>
  <w:style w:type="paragraph" w:styleId="Footer">
    <w:name w:val="footer"/>
    <w:basedOn w:val="Normal"/>
    <w:link w:val="FooterChar"/>
    <w:uiPriority w:val="99"/>
    <w:unhideWhenUsed/>
    <w:rsid w:val="0009137F"/>
    <w:pPr>
      <w:tabs>
        <w:tab w:val="center" w:pos="4320"/>
        <w:tab w:val="right" w:pos="8640"/>
      </w:tabs>
    </w:pPr>
  </w:style>
  <w:style w:type="character" w:customStyle="1" w:styleId="FooterChar">
    <w:name w:val="Footer Char"/>
    <w:basedOn w:val="DefaultParagraphFont"/>
    <w:link w:val="Footer"/>
    <w:uiPriority w:val="99"/>
    <w:rsid w:val="0009137F"/>
  </w:style>
  <w:style w:type="character" w:styleId="PageNumber">
    <w:name w:val="page number"/>
    <w:basedOn w:val="DefaultParagraphFont"/>
    <w:uiPriority w:val="99"/>
    <w:semiHidden/>
    <w:unhideWhenUsed/>
    <w:rsid w:val="0009137F"/>
  </w:style>
  <w:style w:type="paragraph" w:styleId="BalloonText">
    <w:name w:val="Balloon Text"/>
    <w:basedOn w:val="Normal"/>
    <w:link w:val="BalloonTextChar"/>
    <w:uiPriority w:val="99"/>
    <w:semiHidden/>
    <w:unhideWhenUsed/>
    <w:rsid w:val="005264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6402"/>
    <w:rPr>
      <w:rFonts w:ascii="Lucida Grande" w:hAnsi="Lucida Grande" w:cs="Lucida Grande"/>
      <w:sz w:val="18"/>
      <w:szCs w:val="18"/>
    </w:rPr>
  </w:style>
  <w:style w:type="character" w:styleId="CommentReference">
    <w:name w:val="annotation reference"/>
    <w:basedOn w:val="DefaultParagraphFont"/>
    <w:uiPriority w:val="99"/>
    <w:semiHidden/>
    <w:unhideWhenUsed/>
    <w:rsid w:val="00A6679A"/>
    <w:rPr>
      <w:sz w:val="16"/>
      <w:szCs w:val="16"/>
    </w:rPr>
  </w:style>
  <w:style w:type="paragraph" w:styleId="CommentText">
    <w:name w:val="annotation text"/>
    <w:basedOn w:val="Normal"/>
    <w:link w:val="CommentTextChar"/>
    <w:uiPriority w:val="99"/>
    <w:semiHidden/>
    <w:unhideWhenUsed/>
    <w:rsid w:val="00A6679A"/>
    <w:rPr>
      <w:sz w:val="20"/>
      <w:szCs w:val="20"/>
    </w:rPr>
  </w:style>
  <w:style w:type="character" w:customStyle="1" w:styleId="CommentTextChar">
    <w:name w:val="Comment Text Char"/>
    <w:basedOn w:val="DefaultParagraphFont"/>
    <w:link w:val="CommentText"/>
    <w:uiPriority w:val="99"/>
    <w:semiHidden/>
    <w:rsid w:val="00A6679A"/>
    <w:rPr>
      <w:sz w:val="20"/>
      <w:szCs w:val="20"/>
    </w:rPr>
  </w:style>
  <w:style w:type="paragraph" w:styleId="CommentSubject">
    <w:name w:val="annotation subject"/>
    <w:basedOn w:val="CommentText"/>
    <w:next w:val="CommentText"/>
    <w:link w:val="CommentSubjectChar"/>
    <w:uiPriority w:val="99"/>
    <w:semiHidden/>
    <w:unhideWhenUsed/>
    <w:rsid w:val="00A6679A"/>
    <w:rPr>
      <w:b/>
      <w:bCs/>
    </w:rPr>
  </w:style>
  <w:style w:type="character" w:customStyle="1" w:styleId="CommentSubjectChar">
    <w:name w:val="Comment Subject Char"/>
    <w:basedOn w:val="CommentTextChar"/>
    <w:link w:val="CommentSubject"/>
    <w:uiPriority w:val="99"/>
    <w:semiHidden/>
    <w:rsid w:val="00A6679A"/>
    <w:rPr>
      <w:b/>
      <w:bCs/>
      <w:sz w:val="20"/>
      <w:szCs w:val="20"/>
    </w:rPr>
  </w:style>
  <w:style w:type="paragraph" w:styleId="Revision">
    <w:name w:val="Revision"/>
    <w:hidden/>
    <w:uiPriority w:val="99"/>
    <w:semiHidden/>
    <w:rsid w:val="00A6679A"/>
  </w:style>
  <w:style w:type="table" w:styleId="TableGrid">
    <w:name w:val="Table Grid"/>
    <w:basedOn w:val="TableNormal"/>
    <w:uiPriority w:val="59"/>
    <w:rsid w:val="00CE7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EE6"/>
    <w:rPr>
      <w:color w:val="0000FF" w:themeColor="hyperlink"/>
      <w:u w:val="single"/>
    </w:rPr>
  </w:style>
  <w:style w:type="paragraph" w:styleId="Bibliography">
    <w:name w:val="Bibliography"/>
    <w:basedOn w:val="Normal"/>
    <w:next w:val="Normal"/>
    <w:uiPriority w:val="37"/>
    <w:semiHidden/>
    <w:unhideWhenUsed/>
    <w:rsid w:val="00EE52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51C"/>
    <w:pPr>
      <w:ind w:left="720"/>
      <w:contextualSpacing/>
    </w:pPr>
  </w:style>
  <w:style w:type="paragraph" w:styleId="Header">
    <w:name w:val="header"/>
    <w:basedOn w:val="Normal"/>
    <w:link w:val="HeaderChar"/>
    <w:uiPriority w:val="99"/>
    <w:unhideWhenUsed/>
    <w:rsid w:val="0009137F"/>
    <w:pPr>
      <w:tabs>
        <w:tab w:val="center" w:pos="4320"/>
        <w:tab w:val="right" w:pos="8640"/>
      </w:tabs>
    </w:pPr>
  </w:style>
  <w:style w:type="character" w:customStyle="1" w:styleId="HeaderChar">
    <w:name w:val="Header Char"/>
    <w:basedOn w:val="DefaultParagraphFont"/>
    <w:link w:val="Header"/>
    <w:uiPriority w:val="99"/>
    <w:rsid w:val="0009137F"/>
  </w:style>
  <w:style w:type="paragraph" w:styleId="Footer">
    <w:name w:val="footer"/>
    <w:basedOn w:val="Normal"/>
    <w:link w:val="FooterChar"/>
    <w:uiPriority w:val="99"/>
    <w:unhideWhenUsed/>
    <w:rsid w:val="0009137F"/>
    <w:pPr>
      <w:tabs>
        <w:tab w:val="center" w:pos="4320"/>
        <w:tab w:val="right" w:pos="8640"/>
      </w:tabs>
    </w:pPr>
  </w:style>
  <w:style w:type="character" w:customStyle="1" w:styleId="FooterChar">
    <w:name w:val="Footer Char"/>
    <w:basedOn w:val="DefaultParagraphFont"/>
    <w:link w:val="Footer"/>
    <w:uiPriority w:val="99"/>
    <w:rsid w:val="0009137F"/>
  </w:style>
  <w:style w:type="character" w:styleId="PageNumber">
    <w:name w:val="page number"/>
    <w:basedOn w:val="DefaultParagraphFont"/>
    <w:uiPriority w:val="99"/>
    <w:semiHidden/>
    <w:unhideWhenUsed/>
    <w:rsid w:val="0009137F"/>
  </w:style>
  <w:style w:type="paragraph" w:styleId="BalloonText">
    <w:name w:val="Balloon Text"/>
    <w:basedOn w:val="Normal"/>
    <w:link w:val="BalloonTextChar"/>
    <w:uiPriority w:val="99"/>
    <w:semiHidden/>
    <w:unhideWhenUsed/>
    <w:rsid w:val="005264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6402"/>
    <w:rPr>
      <w:rFonts w:ascii="Lucida Grande" w:hAnsi="Lucida Grande" w:cs="Lucida Grande"/>
      <w:sz w:val="18"/>
      <w:szCs w:val="18"/>
    </w:rPr>
  </w:style>
  <w:style w:type="character" w:styleId="CommentReference">
    <w:name w:val="annotation reference"/>
    <w:basedOn w:val="DefaultParagraphFont"/>
    <w:uiPriority w:val="99"/>
    <w:semiHidden/>
    <w:unhideWhenUsed/>
    <w:rsid w:val="00A6679A"/>
    <w:rPr>
      <w:sz w:val="16"/>
      <w:szCs w:val="16"/>
    </w:rPr>
  </w:style>
  <w:style w:type="paragraph" w:styleId="CommentText">
    <w:name w:val="annotation text"/>
    <w:basedOn w:val="Normal"/>
    <w:link w:val="CommentTextChar"/>
    <w:uiPriority w:val="99"/>
    <w:semiHidden/>
    <w:unhideWhenUsed/>
    <w:rsid w:val="00A6679A"/>
    <w:rPr>
      <w:sz w:val="20"/>
      <w:szCs w:val="20"/>
    </w:rPr>
  </w:style>
  <w:style w:type="character" w:customStyle="1" w:styleId="CommentTextChar">
    <w:name w:val="Comment Text Char"/>
    <w:basedOn w:val="DefaultParagraphFont"/>
    <w:link w:val="CommentText"/>
    <w:uiPriority w:val="99"/>
    <w:semiHidden/>
    <w:rsid w:val="00A6679A"/>
    <w:rPr>
      <w:sz w:val="20"/>
      <w:szCs w:val="20"/>
    </w:rPr>
  </w:style>
  <w:style w:type="paragraph" w:styleId="CommentSubject">
    <w:name w:val="annotation subject"/>
    <w:basedOn w:val="CommentText"/>
    <w:next w:val="CommentText"/>
    <w:link w:val="CommentSubjectChar"/>
    <w:uiPriority w:val="99"/>
    <w:semiHidden/>
    <w:unhideWhenUsed/>
    <w:rsid w:val="00A6679A"/>
    <w:rPr>
      <w:b/>
      <w:bCs/>
    </w:rPr>
  </w:style>
  <w:style w:type="character" w:customStyle="1" w:styleId="CommentSubjectChar">
    <w:name w:val="Comment Subject Char"/>
    <w:basedOn w:val="CommentTextChar"/>
    <w:link w:val="CommentSubject"/>
    <w:uiPriority w:val="99"/>
    <w:semiHidden/>
    <w:rsid w:val="00A6679A"/>
    <w:rPr>
      <w:b/>
      <w:bCs/>
      <w:sz w:val="20"/>
      <w:szCs w:val="20"/>
    </w:rPr>
  </w:style>
  <w:style w:type="paragraph" w:styleId="Revision">
    <w:name w:val="Revision"/>
    <w:hidden/>
    <w:uiPriority w:val="99"/>
    <w:semiHidden/>
    <w:rsid w:val="00A6679A"/>
  </w:style>
  <w:style w:type="table" w:styleId="TableGrid">
    <w:name w:val="Table Grid"/>
    <w:basedOn w:val="TableNormal"/>
    <w:uiPriority w:val="59"/>
    <w:rsid w:val="00CE7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EE6"/>
    <w:rPr>
      <w:color w:val="0000FF" w:themeColor="hyperlink"/>
      <w:u w:val="single"/>
    </w:rPr>
  </w:style>
  <w:style w:type="paragraph" w:styleId="Bibliography">
    <w:name w:val="Bibliography"/>
    <w:basedOn w:val="Normal"/>
    <w:next w:val="Normal"/>
    <w:uiPriority w:val="37"/>
    <w:semiHidden/>
    <w:unhideWhenUsed/>
    <w:rsid w:val="00EE5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55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jransom.walsh@gmail.com" TargetMode="External"/><Relationship Id="rId7" Type="http://schemas.openxmlformats.org/officeDocument/2006/relationships/footnotes" Target="footnotes.xml"/><Relationship Id="rId12" Type="http://schemas.openxmlformats.org/officeDocument/2006/relationships/image" Target="media/image20.emf"/><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0.emf"/><Relationship Id="rId20" Type="http://schemas.openxmlformats.org/officeDocument/2006/relationships/hyperlink" Target="http://wisconsinwatch.org/2014/05/water-cleaning-crustacean-devoured-by-new-predator-in-lake-mendo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7.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image" Target="media/image10.jpg"/><Relationship Id="rId19" Type="http://schemas.openxmlformats.org/officeDocument/2006/relationships/hyperlink" Target="http://m.jsonline.com/267014431.ht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0.emf"/><Relationship Id="rId22" Type="http://schemas.openxmlformats.org/officeDocument/2006/relationships/image" Target="media/image5.em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Owner\Documents\Spiny%20Water%20Flea%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Egg Abundance </a:t>
            </a:r>
          </a:p>
        </c:rich>
      </c:tx>
      <c:overlay val="0"/>
    </c:title>
    <c:autoTitleDeleted val="0"/>
    <c:plotArea>
      <c:layout>
        <c:manualLayout>
          <c:layoutTarget val="inner"/>
          <c:xMode val="edge"/>
          <c:yMode val="edge"/>
          <c:x val="0.20265865463237775"/>
          <c:y val="0.29675537732409768"/>
          <c:w val="0.7208830171085"/>
          <c:h val="0.36639979791078797"/>
        </c:manualLayout>
      </c:layout>
      <c:scatterChart>
        <c:scatterStyle val="lineMarker"/>
        <c:varyColors val="0"/>
        <c:ser>
          <c:idx val="0"/>
          <c:order val="0"/>
          <c:spPr>
            <a:ln>
              <a:solidFill>
                <a:srgbClr val="002060"/>
              </a:solidFill>
            </a:ln>
          </c:spPr>
          <c:marker>
            <c:symbol val="none"/>
          </c:marker>
          <c:xVal>
            <c:numRef>
              <c:f>Sheet2!$M$2:$M$25</c:f>
              <c:numCache>
                <c:formatCode>General</c:formatCode>
                <c:ptCount val="24"/>
                <c:pt idx="0">
                  <c:v>177</c:v>
                </c:pt>
                <c:pt idx="1">
                  <c:v>185</c:v>
                </c:pt>
                <c:pt idx="2">
                  <c:v>191</c:v>
                </c:pt>
                <c:pt idx="3">
                  <c:v>201</c:v>
                </c:pt>
                <c:pt idx="4">
                  <c:v>205</c:v>
                </c:pt>
                <c:pt idx="5">
                  <c:v>206</c:v>
                </c:pt>
                <c:pt idx="6">
                  <c:v>213</c:v>
                </c:pt>
                <c:pt idx="7">
                  <c:v>214</c:v>
                </c:pt>
                <c:pt idx="8">
                  <c:v>218</c:v>
                </c:pt>
                <c:pt idx="9">
                  <c:v>219</c:v>
                </c:pt>
                <c:pt idx="10">
                  <c:v>225</c:v>
                </c:pt>
                <c:pt idx="11">
                  <c:v>232</c:v>
                </c:pt>
                <c:pt idx="12">
                  <c:v>239</c:v>
                </c:pt>
                <c:pt idx="13">
                  <c:v>243</c:v>
                </c:pt>
                <c:pt idx="14">
                  <c:v>254</c:v>
                </c:pt>
                <c:pt idx="15">
                  <c:v>261</c:v>
                </c:pt>
                <c:pt idx="16">
                  <c:v>269</c:v>
                </c:pt>
                <c:pt idx="17">
                  <c:v>275</c:v>
                </c:pt>
                <c:pt idx="18">
                  <c:v>282</c:v>
                </c:pt>
                <c:pt idx="19">
                  <c:v>297</c:v>
                </c:pt>
                <c:pt idx="20">
                  <c:v>305</c:v>
                </c:pt>
                <c:pt idx="21">
                  <c:v>310</c:v>
                </c:pt>
                <c:pt idx="22">
                  <c:v>339</c:v>
                </c:pt>
                <c:pt idx="23">
                  <c:v>347</c:v>
                </c:pt>
              </c:numCache>
            </c:numRef>
          </c:xVal>
          <c:yVal>
            <c:numRef>
              <c:f>Sheet2!$N$2:$N$25</c:f>
              <c:numCache>
                <c:formatCode>General</c:formatCode>
                <c:ptCount val="24"/>
                <c:pt idx="0">
                  <c:v>0.71428571428571497</c:v>
                </c:pt>
                <c:pt idx="1">
                  <c:v>0.33333333333333298</c:v>
                </c:pt>
                <c:pt idx="2">
                  <c:v>7.9320113314447604E-2</c:v>
                </c:pt>
                <c:pt idx="3">
                  <c:v>2.1276595744680799E-2</c:v>
                </c:pt>
                <c:pt idx="4">
                  <c:v>0.21678321678321699</c:v>
                </c:pt>
                <c:pt idx="5">
                  <c:v>6.3492063492063502E-2</c:v>
                </c:pt>
                <c:pt idx="6">
                  <c:v>0.1</c:v>
                </c:pt>
                <c:pt idx="7">
                  <c:v>0.209302325581396</c:v>
                </c:pt>
                <c:pt idx="8">
                  <c:v>3.7383177570093497E-2</c:v>
                </c:pt>
                <c:pt idx="9">
                  <c:v>0.83333333333333404</c:v>
                </c:pt>
                <c:pt idx="10">
                  <c:v>0.22222222222222199</c:v>
                </c:pt>
                <c:pt idx="11">
                  <c:v>0.32307692307692298</c:v>
                </c:pt>
                <c:pt idx="12">
                  <c:v>0.152866242038217</c:v>
                </c:pt>
                <c:pt idx="13">
                  <c:v>0.5</c:v>
                </c:pt>
                <c:pt idx="14">
                  <c:v>0.43478260869565299</c:v>
                </c:pt>
                <c:pt idx="15">
                  <c:v>0.1875</c:v>
                </c:pt>
                <c:pt idx="16">
                  <c:v>0.33858267716535501</c:v>
                </c:pt>
                <c:pt idx="17">
                  <c:v>0.26732673267326801</c:v>
                </c:pt>
                <c:pt idx="18">
                  <c:v>0.34166666666666701</c:v>
                </c:pt>
                <c:pt idx="19">
                  <c:v>0.38805970149253699</c:v>
                </c:pt>
                <c:pt idx="20">
                  <c:v>0.15</c:v>
                </c:pt>
                <c:pt idx="21">
                  <c:v>0.2</c:v>
                </c:pt>
                <c:pt idx="22">
                  <c:v>1.5666666666666671</c:v>
                </c:pt>
                <c:pt idx="23">
                  <c:v>0.43333333333333302</c:v>
                </c:pt>
              </c:numCache>
            </c:numRef>
          </c:yVal>
          <c:smooth val="0"/>
        </c:ser>
        <c:dLbls>
          <c:showLegendKey val="0"/>
          <c:showVal val="0"/>
          <c:showCatName val="0"/>
          <c:showSerName val="0"/>
          <c:showPercent val="0"/>
          <c:showBubbleSize val="0"/>
        </c:dLbls>
        <c:axId val="166352384"/>
        <c:axId val="166354304"/>
      </c:scatterChart>
      <c:valAx>
        <c:axId val="166352384"/>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Julian Day </a:t>
                </a:r>
              </a:p>
            </c:rich>
          </c:tx>
          <c:overlay val="0"/>
        </c:title>
        <c:numFmt formatCode="General" sourceLinked="1"/>
        <c:majorTickMark val="out"/>
        <c:minorTickMark val="none"/>
        <c:tickLblPos val="nextTo"/>
        <c:crossAx val="166354304"/>
        <c:crosses val="autoZero"/>
        <c:crossBetween val="midCat"/>
      </c:valAx>
      <c:valAx>
        <c:axId val="166354304"/>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Average Abundance </a:t>
                </a:r>
              </a:p>
            </c:rich>
          </c:tx>
          <c:overlay val="0"/>
        </c:title>
        <c:numFmt formatCode="General" sourceLinked="1"/>
        <c:majorTickMark val="out"/>
        <c:minorTickMark val="none"/>
        <c:tickLblPos val="nextTo"/>
        <c:crossAx val="166352384"/>
        <c:crosses val="autoZero"/>
        <c:crossBetween val="midCat"/>
      </c:valAx>
      <c:spPr>
        <a:solidFill>
          <a:schemeClr val="lt1"/>
        </a:solidFill>
        <a:ln w="25400" cap="flat" cmpd="sng" algn="ctr">
          <a:solidFill>
            <a:schemeClr val="accent5"/>
          </a:solidFill>
          <a:prstDash val="solid"/>
        </a:ln>
        <a:effectLst/>
      </c:spPr>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661D3-9647-4CE0-B117-5E41D897A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20296</Words>
  <Characters>108992</Characters>
  <Application>Microsoft Office Word</Application>
  <DocSecurity>4</DocSecurity>
  <Lines>2224</Lines>
  <Paragraphs>1010</Paragraphs>
  <ScaleCrop>false</ScaleCrop>
  <HeadingPairs>
    <vt:vector size="2" baseType="variant">
      <vt:variant>
        <vt:lpstr>Title</vt:lpstr>
      </vt:variant>
      <vt:variant>
        <vt:i4>1</vt:i4>
      </vt:variant>
    </vt:vector>
  </HeadingPairs>
  <TitlesOfParts>
    <vt:vector size="1" baseType="lpstr">
      <vt:lpstr/>
    </vt:vector>
  </TitlesOfParts>
  <Company>UW-Madison</Company>
  <LinksUpToDate>false</LinksUpToDate>
  <CharactersWithSpaces>128278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Walsh</dc:creator>
  <cp:lastModifiedBy>Van Egeren, Scott J</cp:lastModifiedBy>
  <cp:revision>2</cp:revision>
  <cp:lastPrinted>2012-01-17T17:27:00Z</cp:lastPrinted>
  <dcterms:created xsi:type="dcterms:W3CDTF">2016-03-24T20:26:00Z</dcterms:created>
  <dcterms:modified xsi:type="dcterms:W3CDTF">2016-03-24T20:26:00Z</dcterms:modified>
</cp:coreProperties>
</file>