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08" w:rsidRDefault="00641008" w:rsidP="00641008">
      <w:pPr>
        <w:pStyle w:val="Heading1"/>
      </w:pPr>
      <w:bookmarkStart w:id="0" w:name="_GoBack"/>
      <w:bookmarkEnd w:id="0"/>
      <w:r>
        <w:t>Internal Loading, Big Lake, Polk County, WI, WBIC: 2615900</w:t>
      </w:r>
    </w:p>
    <w:p w:rsidR="001644EB" w:rsidRDefault="001644EB" w:rsidP="001644EB">
      <w:pPr>
        <w:rPr>
          <w:rFonts w:ascii="Georgia" w:hAnsi="Georgia"/>
          <w:sz w:val="24"/>
          <w:szCs w:val="24"/>
        </w:rPr>
      </w:pPr>
      <w:r>
        <w:rPr>
          <w:rFonts w:ascii="Georgia" w:hAnsi="Georgia"/>
          <w:sz w:val="24"/>
          <w:szCs w:val="24"/>
        </w:rPr>
        <w:t>In shallow lakes there is intense interaction at the water sediment interface.  Therefore, understanding sediment water interactions is crucial to understanding the nutrient dynamics of shallow lakes such as Big Lake</w:t>
      </w:r>
      <w:sdt>
        <w:sdtPr>
          <w:rPr>
            <w:rFonts w:ascii="Georgia" w:hAnsi="Georgia"/>
            <w:sz w:val="24"/>
            <w:szCs w:val="24"/>
          </w:rPr>
          <w:id w:val="22805615"/>
          <w:citation/>
        </w:sdtPr>
        <w:sdtEndPr/>
        <w:sdtContent>
          <w:r>
            <w:rPr>
              <w:rFonts w:ascii="Georgia" w:hAnsi="Georgia"/>
              <w:sz w:val="24"/>
              <w:szCs w:val="24"/>
            </w:rPr>
            <w:fldChar w:fldCharType="begin"/>
          </w:r>
          <w:r>
            <w:rPr>
              <w:rFonts w:ascii="Georgia" w:hAnsi="Georgia"/>
              <w:sz w:val="24"/>
              <w:szCs w:val="24"/>
            </w:rPr>
            <w:instrText xml:space="preserve"> CITATION Mar98 \l 1033 </w:instrText>
          </w:r>
          <w:r>
            <w:rPr>
              <w:rFonts w:ascii="Georgia" w:hAnsi="Georgia"/>
              <w:sz w:val="24"/>
              <w:szCs w:val="24"/>
            </w:rPr>
            <w:fldChar w:fldCharType="separate"/>
          </w:r>
          <w:r>
            <w:rPr>
              <w:rFonts w:ascii="Georgia" w:hAnsi="Georgia"/>
              <w:noProof/>
              <w:sz w:val="24"/>
              <w:szCs w:val="24"/>
            </w:rPr>
            <w:t xml:space="preserve"> </w:t>
          </w:r>
          <w:r w:rsidRPr="00206E2C">
            <w:rPr>
              <w:rFonts w:ascii="Georgia" w:hAnsi="Georgia"/>
              <w:noProof/>
              <w:sz w:val="24"/>
              <w:szCs w:val="24"/>
            </w:rPr>
            <w:t>(Scheffer, 1998)</w:t>
          </w:r>
          <w:r>
            <w:rPr>
              <w:rFonts w:ascii="Georgia" w:hAnsi="Georgia"/>
              <w:sz w:val="24"/>
              <w:szCs w:val="24"/>
            </w:rPr>
            <w:fldChar w:fldCharType="end"/>
          </w:r>
        </w:sdtContent>
      </w:sdt>
      <w:r>
        <w:rPr>
          <w:rFonts w:ascii="Georgia" w:hAnsi="Georgia"/>
          <w:sz w:val="24"/>
          <w:szCs w:val="24"/>
        </w:rPr>
        <w:t>.  An analysis of the hypolimnetic nutrients of Big Lake has implications for best management actions.</w:t>
      </w:r>
    </w:p>
    <w:p w:rsidR="00D80460" w:rsidRDefault="001644EB" w:rsidP="001644EB">
      <w:pPr>
        <w:rPr>
          <w:rFonts w:ascii="Georgia" w:hAnsi="Georgia"/>
          <w:sz w:val="24"/>
          <w:szCs w:val="24"/>
        </w:rPr>
      </w:pPr>
      <w:r>
        <w:rPr>
          <w:rFonts w:ascii="Georgia" w:hAnsi="Georgia"/>
          <w:sz w:val="24"/>
          <w:szCs w:val="24"/>
        </w:rPr>
        <w:t xml:space="preserve">The most significant form of inorganic phosphorus is orthophosphate.  Much emphasis has been placed on the evaluation of the nutrient phosphorus because of its fundamental importance in lakes systems.  The types of phosphorus commonly evaluated are soluble reactive phosphorus, soluble unreactive phosphorus, particulate reactive phosphorus, and particulate unreactive phosphorus </w:t>
      </w:r>
      <w:sdt>
        <w:sdtPr>
          <w:rPr>
            <w:rFonts w:ascii="Georgia" w:hAnsi="Georgia"/>
            <w:sz w:val="24"/>
            <w:szCs w:val="24"/>
          </w:rPr>
          <w:id w:val="9196728"/>
          <w:citation/>
        </w:sdtPr>
        <w:sdtEndPr/>
        <w:sdtContent>
          <w:r>
            <w:rPr>
              <w:rFonts w:ascii="Georgia" w:hAnsi="Georgia"/>
              <w:sz w:val="24"/>
              <w:szCs w:val="24"/>
            </w:rPr>
            <w:fldChar w:fldCharType="begin"/>
          </w:r>
          <w:r>
            <w:rPr>
              <w:rFonts w:ascii="Georgia" w:hAnsi="Georgia"/>
              <w:sz w:val="24"/>
              <w:szCs w:val="24"/>
            </w:rPr>
            <w:instrText xml:space="preserve"> CITATION Wet01 \l 1033 </w:instrText>
          </w:r>
          <w:r>
            <w:rPr>
              <w:rFonts w:ascii="Georgia" w:hAnsi="Georgia"/>
              <w:sz w:val="24"/>
              <w:szCs w:val="24"/>
            </w:rPr>
            <w:fldChar w:fldCharType="separate"/>
          </w:r>
          <w:r w:rsidRPr="0014741E">
            <w:rPr>
              <w:rFonts w:ascii="Georgia" w:hAnsi="Georgia"/>
              <w:noProof/>
              <w:sz w:val="24"/>
              <w:szCs w:val="24"/>
            </w:rPr>
            <w:t>(Wetzel, 2001)</w:t>
          </w:r>
          <w:r>
            <w:rPr>
              <w:rFonts w:ascii="Georgia" w:hAnsi="Georgia"/>
              <w:sz w:val="24"/>
              <w:szCs w:val="24"/>
            </w:rPr>
            <w:fldChar w:fldCharType="end"/>
          </w:r>
        </w:sdtContent>
      </w:sdt>
      <w:r>
        <w:rPr>
          <w:rFonts w:ascii="Georgia" w:hAnsi="Georgia"/>
          <w:sz w:val="24"/>
          <w:szCs w:val="24"/>
        </w:rPr>
        <w:t xml:space="preserve">.  Often analysis is done for total phosphorus.  </w:t>
      </w:r>
    </w:p>
    <w:p w:rsidR="001644EB" w:rsidRDefault="001644EB" w:rsidP="001644EB">
      <w:pPr>
        <w:rPr>
          <w:rFonts w:ascii="Georgia" w:hAnsi="Georgia"/>
          <w:sz w:val="24"/>
          <w:szCs w:val="24"/>
        </w:rPr>
      </w:pPr>
      <w:r>
        <w:rPr>
          <w:rFonts w:ascii="Georgia" w:hAnsi="Georgia"/>
          <w:sz w:val="24"/>
          <w:szCs w:val="24"/>
        </w:rPr>
        <w:t>A substantial source of available phosphorus in shallow lakes, such a</w:t>
      </w:r>
      <w:r w:rsidR="00D80460">
        <w:rPr>
          <w:rFonts w:ascii="Georgia" w:hAnsi="Georgia"/>
          <w:sz w:val="24"/>
          <w:szCs w:val="24"/>
        </w:rPr>
        <w:t>s Big</w:t>
      </w:r>
      <w:r>
        <w:rPr>
          <w:rFonts w:ascii="Georgia" w:hAnsi="Georgia"/>
          <w:sz w:val="24"/>
          <w:szCs w:val="24"/>
        </w:rPr>
        <w:t xml:space="preserve"> Lake, is the sediment.  Release of phosphorus from the sediment into the water column depends on the composition of the sediment and the concentration of the phosphorus in the water column.  Phosphorus release can vary strongly depending on the conditions at the sediment water interface </w:t>
      </w:r>
      <w:sdt>
        <w:sdtPr>
          <w:rPr>
            <w:rFonts w:ascii="Georgia" w:hAnsi="Georgia"/>
            <w:sz w:val="24"/>
            <w:szCs w:val="24"/>
          </w:rPr>
          <w:id w:val="9196729"/>
          <w:citation/>
        </w:sdtPr>
        <w:sdtEndPr/>
        <w:sdtContent>
          <w:r>
            <w:rPr>
              <w:rFonts w:ascii="Georgia" w:hAnsi="Georgia"/>
              <w:sz w:val="24"/>
              <w:szCs w:val="24"/>
            </w:rPr>
            <w:fldChar w:fldCharType="begin"/>
          </w:r>
          <w:r>
            <w:rPr>
              <w:rFonts w:ascii="Georgia" w:hAnsi="Georgia"/>
              <w:sz w:val="24"/>
              <w:szCs w:val="24"/>
            </w:rPr>
            <w:instrText xml:space="preserve"> CITATION Mar98 \l 1033 </w:instrText>
          </w:r>
          <w:r>
            <w:rPr>
              <w:rFonts w:ascii="Georgia" w:hAnsi="Georgia"/>
              <w:sz w:val="24"/>
              <w:szCs w:val="24"/>
            </w:rPr>
            <w:fldChar w:fldCharType="separate"/>
          </w:r>
          <w:r w:rsidRPr="0051289B">
            <w:rPr>
              <w:rFonts w:ascii="Georgia" w:hAnsi="Georgia"/>
              <w:noProof/>
              <w:sz w:val="24"/>
              <w:szCs w:val="24"/>
            </w:rPr>
            <w:t>(Scheffer, 1998)</w:t>
          </w:r>
          <w:r>
            <w:rPr>
              <w:rFonts w:ascii="Georgia" w:hAnsi="Georgia"/>
              <w:sz w:val="24"/>
              <w:szCs w:val="24"/>
            </w:rPr>
            <w:fldChar w:fldCharType="end"/>
          </w:r>
        </w:sdtContent>
      </w:sdt>
      <w:r>
        <w:rPr>
          <w:rFonts w:ascii="Georgia" w:hAnsi="Georgia"/>
          <w:sz w:val="24"/>
          <w:szCs w:val="24"/>
        </w:rPr>
        <w:t xml:space="preserve"> </w:t>
      </w:r>
      <w:sdt>
        <w:sdtPr>
          <w:rPr>
            <w:rFonts w:ascii="Georgia" w:hAnsi="Georgia"/>
            <w:sz w:val="24"/>
            <w:szCs w:val="24"/>
          </w:rPr>
          <w:id w:val="9196730"/>
          <w:citation/>
        </w:sdtPr>
        <w:sdtEndPr/>
        <w:sdtContent>
          <w:r>
            <w:rPr>
              <w:rFonts w:ascii="Georgia" w:hAnsi="Georgia"/>
              <w:sz w:val="24"/>
              <w:szCs w:val="24"/>
            </w:rPr>
            <w:fldChar w:fldCharType="begin"/>
          </w:r>
          <w:r>
            <w:rPr>
              <w:rFonts w:ascii="Georgia" w:hAnsi="Georgia"/>
              <w:sz w:val="24"/>
              <w:szCs w:val="24"/>
            </w:rPr>
            <w:instrText xml:space="preserve"> CITATION Kai02 \l 1033 </w:instrText>
          </w:r>
          <w:r>
            <w:rPr>
              <w:rFonts w:ascii="Georgia" w:hAnsi="Georgia"/>
              <w:sz w:val="24"/>
              <w:szCs w:val="24"/>
            </w:rPr>
            <w:fldChar w:fldCharType="separate"/>
          </w:r>
          <w:r w:rsidRPr="009133D5">
            <w:rPr>
              <w:rFonts w:ascii="Georgia" w:hAnsi="Georgia"/>
              <w:noProof/>
              <w:sz w:val="24"/>
              <w:szCs w:val="24"/>
            </w:rPr>
            <w:t>(Kaiserli, A., Voutsa, D., and Samara, C., 2002)</w:t>
          </w:r>
          <w:r>
            <w:rPr>
              <w:rFonts w:ascii="Georgia" w:hAnsi="Georgia"/>
              <w:sz w:val="24"/>
              <w:szCs w:val="24"/>
            </w:rPr>
            <w:fldChar w:fldCharType="end"/>
          </w:r>
        </w:sdtContent>
      </w:sdt>
      <w:sdt>
        <w:sdtPr>
          <w:rPr>
            <w:rFonts w:ascii="Georgia" w:hAnsi="Georgia"/>
            <w:sz w:val="24"/>
            <w:szCs w:val="24"/>
          </w:rPr>
          <w:id w:val="9196731"/>
          <w:citation/>
        </w:sdtPr>
        <w:sdtEndPr/>
        <w:sdtContent>
          <w:r>
            <w:rPr>
              <w:rFonts w:ascii="Georgia" w:hAnsi="Georgia"/>
              <w:sz w:val="24"/>
              <w:szCs w:val="24"/>
            </w:rPr>
            <w:fldChar w:fldCharType="begin"/>
          </w:r>
          <w:r>
            <w:rPr>
              <w:rFonts w:ascii="Georgia" w:hAnsi="Georgia"/>
              <w:sz w:val="24"/>
              <w:szCs w:val="24"/>
            </w:rPr>
            <w:instrText xml:space="preserve"> CITATION Gon98 \l 1033 </w:instrText>
          </w:r>
          <w:r>
            <w:rPr>
              <w:rFonts w:ascii="Georgia" w:hAnsi="Georgia"/>
              <w:sz w:val="24"/>
              <w:szCs w:val="24"/>
            </w:rPr>
            <w:fldChar w:fldCharType="separate"/>
          </w:r>
          <w:r>
            <w:rPr>
              <w:rFonts w:ascii="Georgia" w:hAnsi="Georgia"/>
              <w:noProof/>
              <w:sz w:val="24"/>
              <w:szCs w:val="24"/>
            </w:rPr>
            <w:t xml:space="preserve"> </w:t>
          </w:r>
          <w:r w:rsidRPr="009133D5">
            <w:rPr>
              <w:rFonts w:ascii="Georgia" w:hAnsi="Georgia"/>
              <w:noProof/>
              <w:sz w:val="24"/>
              <w:szCs w:val="24"/>
            </w:rPr>
            <w:t>(Gonsiorczyk, T., Casper, P., and Koschel, R., 1998)</w:t>
          </w:r>
          <w:r>
            <w:rPr>
              <w:rFonts w:ascii="Georgia" w:hAnsi="Georgia"/>
              <w:sz w:val="24"/>
              <w:szCs w:val="24"/>
            </w:rPr>
            <w:fldChar w:fldCharType="end"/>
          </w:r>
        </w:sdtContent>
      </w:sdt>
      <w:r>
        <w:rPr>
          <w:rFonts w:ascii="Georgia" w:hAnsi="Georgia"/>
          <w:sz w:val="24"/>
          <w:szCs w:val="24"/>
        </w:rPr>
        <w:t xml:space="preserve">. </w:t>
      </w:r>
    </w:p>
    <w:p w:rsidR="00D80460" w:rsidRDefault="00D80460" w:rsidP="001644EB">
      <w:pPr>
        <w:rPr>
          <w:rFonts w:ascii="Georgia" w:hAnsi="Georgia"/>
          <w:sz w:val="24"/>
          <w:szCs w:val="24"/>
        </w:rPr>
      </w:pPr>
      <w:r w:rsidRPr="00443EB2">
        <w:rPr>
          <w:rFonts w:ascii="Georgia" w:hAnsi="Georgia"/>
          <w:sz w:val="24"/>
          <w:szCs w:val="24"/>
        </w:rPr>
        <w:t xml:space="preserve">Phosphorus </w:t>
      </w:r>
      <w:r w:rsidR="00443EB2">
        <w:rPr>
          <w:rFonts w:ascii="Georgia" w:hAnsi="Georgia"/>
          <w:sz w:val="24"/>
          <w:szCs w:val="24"/>
        </w:rPr>
        <w:t xml:space="preserve">found </w:t>
      </w:r>
      <w:r w:rsidRPr="00443EB2">
        <w:rPr>
          <w:rFonts w:ascii="Georgia" w:hAnsi="Georgia"/>
          <w:sz w:val="24"/>
          <w:szCs w:val="24"/>
        </w:rPr>
        <w:t>in the</w:t>
      </w:r>
      <w:r>
        <w:rPr>
          <w:rFonts w:ascii="Georgia" w:hAnsi="Georgia"/>
          <w:sz w:val="24"/>
          <w:szCs w:val="24"/>
        </w:rPr>
        <w:t xml:space="preserve"> sediments of lakes is often precipitated with clays, aluminum, and iron compounds.  Work on Wisconsin lake sediments and the Great Lakes indicate that phosphorus in the sediments is predominately apatites (phosphate minerals), organic phosphorus, and orthophosphate bonded to iron compounds.  However, as the oxygen content near the sediment declines</w:t>
      </w:r>
      <w:r w:rsidR="00443EB2">
        <w:rPr>
          <w:rFonts w:ascii="Georgia" w:hAnsi="Georgia"/>
          <w:sz w:val="24"/>
          <w:szCs w:val="24"/>
        </w:rPr>
        <w:t>,</w:t>
      </w:r>
      <w:r>
        <w:rPr>
          <w:rFonts w:ascii="Georgia" w:hAnsi="Georgia"/>
          <w:sz w:val="24"/>
          <w:szCs w:val="24"/>
        </w:rPr>
        <w:t xml:space="preserve"> there is a release of phosphorus, iron, and manganese to the water column </w:t>
      </w:r>
      <w:sdt>
        <w:sdtPr>
          <w:rPr>
            <w:rFonts w:ascii="Georgia" w:hAnsi="Georgia"/>
            <w:sz w:val="24"/>
            <w:szCs w:val="24"/>
          </w:rPr>
          <w:id w:val="9196732"/>
          <w:citation/>
        </w:sdtPr>
        <w:sdtEndPr/>
        <w:sdtContent>
          <w:r>
            <w:rPr>
              <w:rFonts w:ascii="Georgia" w:hAnsi="Georgia"/>
              <w:sz w:val="24"/>
              <w:szCs w:val="24"/>
            </w:rPr>
            <w:fldChar w:fldCharType="begin"/>
          </w:r>
          <w:r>
            <w:rPr>
              <w:rFonts w:ascii="Georgia" w:hAnsi="Georgia"/>
              <w:sz w:val="24"/>
              <w:szCs w:val="24"/>
            </w:rPr>
            <w:instrText xml:space="preserve"> CITATION Wet01 \l 1033 </w:instrText>
          </w:r>
          <w:r>
            <w:rPr>
              <w:rFonts w:ascii="Georgia" w:hAnsi="Georgia"/>
              <w:sz w:val="24"/>
              <w:szCs w:val="24"/>
            </w:rPr>
            <w:fldChar w:fldCharType="separate"/>
          </w:r>
          <w:r w:rsidRPr="008E6DA7">
            <w:rPr>
              <w:rFonts w:ascii="Georgia" w:hAnsi="Georgia"/>
              <w:noProof/>
              <w:sz w:val="24"/>
              <w:szCs w:val="24"/>
            </w:rPr>
            <w:t>(Wetzel, 2001)</w:t>
          </w:r>
          <w:r>
            <w:rPr>
              <w:rFonts w:ascii="Georgia" w:hAnsi="Georgia"/>
              <w:sz w:val="24"/>
              <w:szCs w:val="24"/>
            </w:rPr>
            <w:fldChar w:fldCharType="end"/>
          </w:r>
        </w:sdtContent>
      </w:sdt>
      <w:r>
        <w:rPr>
          <w:rFonts w:ascii="Georgia" w:hAnsi="Georgia"/>
          <w:sz w:val="24"/>
          <w:szCs w:val="24"/>
        </w:rPr>
        <w:t xml:space="preserve">.  </w:t>
      </w:r>
    </w:p>
    <w:p w:rsidR="00D80460" w:rsidRDefault="00D80460" w:rsidP="00D80460">
      <w:pPr>
        <w:rPr>
          <w:rFonts w:ascii="Georgia" w:hAnsi="Georgia"/>
          <w:sz w:val="24"/>
          <w:szCs w:val="24"/>
        </w:rPr>
      </w:pPr>
      <w:r>
        <w:rPr>
          <w:rFonts w:ascii="Georgia" w:hAnsi="Georgia"/>
          <w:sz w:val="24"/>
          <w:szCs w:val="24"/>
        </w:rPr>
        <w:t xml:space="preserve">The concentration of phosphorus in the water column tends to correlate well with the ratio between phosphorus and iron concentrations (P:Fe) in the sediment.  It has been found where the P:Fe ratio is lower than 1: 10, the correlation with lake water becomes </w:t>
      </w:r>
      <w:r w:rsidRPr="00610193">
        <w:rPr>
          <w:rFonts w:ascii="Georgia" w:hAnsi="Georgia"/>
          <w:sz w:val="24"/>
          <w:szCs w:val="24"/>
        </w:rPr>
        <w:t>weak (Scheffer</w:t>
      </w:r>
      <w:r w:rsidR="00610193" w:rsidRPr="00610193">
        <w:rPr>
          <w:rFonts w:ascii="Georgia" w:hAnsi="Georgia"/>
          <w:sz w:val="24"/>
          <w:szCs w:val="24"/>
        </w:rPr>
        <w:t xml:space="preserve"> 1998</w:t>
      </w:r>
      <w:r w:rsidRPr="00610193">
        <w:rPr>
          <w:rFonts w:ascii="Georgia" w:hAnsi="Georgia"/>
          <w:sz w:val="24"/>
          <w:szCs w:val="24"/>
        </w:rPr>
        <w:t>).  The ratio of P to Fe in the hypolimnetic water of Big Lake ranges from 3:1- 1:32 indicating a strong correlation between the sediment P pool and the water column phosphorus concentration during certain times.    The mobilization of recently deposited P seems to be the driving force of P-release in eutrophic lakes such as Big Lake (Gonsiorczyk et.al.</w:t>
      </w:r>
      <w:r w:rsidR="00610193" w:rsidRPr="00610193">
        <w:rPr>
          <w:rFonts w:ascii="Georgia" w:hAnsi="Georgia"/>
          <w:sz w:val="24"/>
          <w:szCs w:val="24"/>
        </w:rPr>
        <w:t xml:space="preserve"> 1998</w:t>
      </w:r>
      <w:r w:rsidRPr="00610193">
        <w:rPr>
          <w:rFonts w:ascii="Georgia" w:hAnsi="Georgia"/>
          <w:sz w:val="24"/>
          <w:szCs w:val="24"/>
        </w:rPr>
        <w:t>).  However</w:t>
      </w:r>
      <w:r w:rsidR="00443EB2">
        <w:rPr>
          <w:rFonts w:ascii="Georgia" w:hAnsi="Georgia"/>
          <w:sz w:val="24"/>
          <w:szCs w:val="24"/>
        </w:rPr>
        <w:t>,</w:t>
      </w:r>
      <w:r w:rsidRPr="00610193">
        <w:rPr>
          <w:rFonts w:ascii="Georgia" w:hAnsi="Georgia"/>
          <w:sz w:val="24"/>
          <w:szCs w:val="24"/>
        </w:rPr>
        <w:t xml:space="preserve"> there is a limited amount of knowledge of the mechanisms behind internal loading in shallow lakes (Søndergaard et.al.</w:t>
      </w:r>
      <w:r w:rsidR="00610193" w:rsidRPr="00610193">
        <w:rPr>
          <w:rFonts w:ascii="Georgia" w:hAnsi="Georgia"/>
          <w:sz w:val="24"/>
          <w:szCs w:val="24"/>
        </w:rPr>
        <w:t xml:space="preserve"> 2001</w:t>
      </w:r>
      <w:r w:rsidRPr="00610193">
        <w:rPr>
          <w:rFonts w:ascii="Georgia" w:hAnsi="Georgia"/>
          <w:sz w:val="24"/>
          <w:szCs w:val="24"/>
        </w:rPr>
        <w:t xml:space="preserve">). Water samples analyzed from near the water-sediment interface do indeed show an increase in phosphorus during the open water season, indicating an internal release of </w:t>
      </w:r>
      <w:r>
        <w:rPr>
          <w:rFonts w:ascii="Georgia" w:hAnsi="Georgia"/>
          <w:sz w:val="24"/>
          <w:szCs w:val="24"/>
        </w:rPr>
        <w:t>P.</w:t>
      </w:r>
    </w:p>
    <w:p w:rsidR="00D80460" w:rsidRDefault="00D80460" w:rsidP="00D80460">
      <w:pPr>
        <w:rPr>
          <w:rFonts w:ascii="Georgia" w:hAnsi="Georgia"/>
          <w:sz w:val="24"/>
          <w:szCs w:val="24"/>
        </w:rPr>
      </w:pPr>
    </w:p>
    <w:p w:rsidR="00D80460" w:rsidRDefault="00D80460" w:rsidP="00D80460">
      <w:pPr>
        <w:rPr>
          <w:rFonts w:ascii="Georgia" w:hAnsi="Georgia"/>
          <w:sz w:val="24"/>
          <w:szCs w:val="24"/>
        </w:rPr>
      </w:pPr>
    </w:p>
    <w:p w:rsidR="00723D60" w:rsidRDefault="00D80460" w:rsidP="001644EB">
      <w:r w:rsidRPr="001644EB">
        <w:rPr>
          <w:rFonts w:ascii="Georgia" w:hAnsi="Georgia"/>
          <w:noProof/>
          <w:sz w:val="24"/>
          <w:szCs w:val="24"/>
        </w:rPr>
        <mc:AlternateContent>
          <mc:Choice Requires="wps">
            <w:drawing>
              <wp:anchor distT="0" distB="0" distL="114300" distR="114300" simplePos="0" relativeHeight="251661312" behindDoc="0" locked="0" layoutInCell="1" allowOverlap="1" wp14:anchorId="494ED74D" wp14:editId="70A6790A">
                <wp:simplePos x="0" y="0"/>
                <wp:positionH relativeFrom="column">
                  <wp:posOffset>4953000</wp:posOffset>
                </wp:positionH>
                <wp:positionV relativeFrom="paragraph">
                  <wp:posOffset>3547110</wp:posOffset>
                </wp:positionV>
                <wp:extent cx="1152525" cy="1403985"/>
                <wp:effectExtent l="0" t="0" r="2857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3985"/>
                        </a:xfrm>
                        <a:prstGeom prst="rect">
                          <a:avLst/>
                        </a:prstGeom>
                        <a:solidFill>
                          <a:srgbClr val="FFFFFF"/>
                        </a:solidFill>
                        <a:ln w="9525">
                          <a:solidFill>
                            <a:schemeClr val="bg1"/>
                          </a:solidFill>
                          <a:miter lim="800000"/>
                          <a:headEnd/>
                          <a:tailEnd/>
                        </a:ln>
                      </wps:spPr>
                      <wps:txbx>
                        <w:txbxContent>
                          <w:p w:rsidR="001644EB" w:rsidRPr="001644EB" w:rsidRDefault="001644EB" w:rsidP="001644EB">
                            <w:pPr>
                              <w:rPr>
                                <w:b/>
                              </w:rPr>
                            </w:pPr>
                            <w:r w:rsidRPr="001644EB">
                              <w:rPr>
                                <w:b/>
                              </w:rPr>
                              <w:t>Fig</w:t>
                            </w:r>
                            <w:r w:rsidR="00D80460">
                              <w:rPr>
                                <w:b/>
                              </w:rPr>
                              <w:t>ure 2</w:t>
                            </w:r>
                            <w:r w:rsidRPr="001644EB">
                              <w:rPr>
                                <w:b/>
                              </w:rPr>
                              <w:t xml:space="preserve">.   Hypolimnetic </w:t>
                            </w:r>
                            <w:r w:rsidR="00D80460">
                              <w:rPr>
                                <w:b/>
                              </w:rPr>
                              <w:t xml:space="preserve">soluble reactive </w:t>
                            </w:r>
                            <w:r w:rsidRPr="001644EB">
                              <w:rPr>
                                <w:b/>
                              </w:rPr>
                              <w:t>phosphorus in Big Lake 2016</w:t>
                            </w:r>
                          </w:p>
                          <w:p w:rsidR="001644EB" w:rsidRDefault="001644E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0pt;margin-top:279.3pt;width:90.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" strokecolor="white [3212]">
                <v:textbox style="mso-fit-shape-to-text:t">
                  <w:txbxContent>
                    <w:p w:rsidR="001644EB" w:rsidRPr="001644EB" w:rsidRDefault="001644EB" w:rsidP="001644EB">
                      <w:pPr>
                        <w:rPr>
                          <w:b/>
                        </w:rPr>
                      </w:pPr>
                      <w:r w:rsidRPr="001644EB">
                        <w:rPr>
                          <w:b/>
                        </w:rPr>
                        <w:t>Fig</w:t>
                      </w:r>
                      <w:r w:rsidR="00D80460">
                        <w:rPr>
                          <w:b/>
                        </w:rPr>
                        <w:t>ure 2</w:t>
                      </w:r>
                      <w:r w:rsidRPr="001644EB">
                        <w:rPr>
                          <w:b/>
                        </w:rPr>
                        <w:t xml:space="preserve">.   Hypolimnetic </w:t>
                      </w:r>
                      <w:r w:rsidR="00D80460">
                        <w:rPr>
                          <w:b/>
                        </w:rPr>
                        <w:t xml:space="preserve">soluble reactive </w:t>
                      </w:r>
                      <w:r w:rsidRPr="001644EB">
                        <w:rPr>
                          <w:b/>
                        </w:rPr>
                        <w:t>phosphorus in Big Lake 2016</w:t>
                      </w:r>
                    </w:p>
                    <w:p w:rsidR="001644EB" w:rsidRDefault="001644EB"/>
                  </w:txbxContent>
                </v:textbox>
              </v:shape>
            </w:pict>
          </mc:Fallback>
        </mc:AlternateContent>
      </w:r>
      <w:r w:rsidRPr="001644EB">
        <w:rPr>
          <w:rFonts w:ascii="Georgia" w:hAnsi="Georgia"/>
          <w:noProof/>
          <w:sz w:val="24"/>
          <w:szCs w:val="24"/>
        </w:rPr>
        <mc:AlternateContent>
          <mc:Choice Requires="wps">
            <w:drawing>
              <wp:anchor distT="0" distB="0" distL="114300" distR="114300" simplePos="0" relativeHeight="251659264" behindDoc="0" locked="0" layoutInCell="1" allowOverlap="1" wp14:anchorId="3BF1D498" wp14:editId="4775AA61">
                <wp:simplePos x="0" y="0"/>
                <wp:positionH relativeFrom="column">
                  <wp:posOffset>5000625</wp:posOffset>
                </wp:positionH>
                <wp:positionV relativeFrom="paragraph">
                  <wp:posOffset>971550</wp:posOffset>
                </wp:positionV>
                <wp:extent cx="1371600" cy="9239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23925"/>
                        </a:xfrm>
                        <a:prstGeom prst="rect">
                          <a:avLst/>
                        </a:prstGeom>
                        <a:solidFill>
                          <a:srgbClr val="FFFFFF"/>
                        </a:solidFill>
                        <a:ln w="9525">
                          <a:solidFill>
                            <a:schemeClr val="bg1"/>
                          </a:solidFill>
                          <a:miter lim="800000"/>
                          <a:headEnd/>
                          <a:tailEnd/>
                        </a:ln>
                      </wps:spPr>
                      <wps:txbx>
                        <w:txbxContent>
                          <w:p w:rsidR="001644EB" w:rsidRPr="001644EB" w:rsidRDefault="001644EB">
                            <w:pPr>
                              <w:rPr>
                                <w:b/>
                              </w:rPr>
                            </w:pPr>
                            <w:r w:rsidRPr="001644EB">
                              <w:rPr>
                                <w:b/>
                              </w:rPr>
                              <w:t>Figure 1.   Hypolimnetic total phosphorus in Big Lake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3.75pt;margin-top:76.5pt;width:108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" strokecolor="white [3212]">
                <v:textbox>
                  <w:txbxContent>
                    <w:p w:rsidR="001644EB" w:rsidRPr="001644EB" w:rsidRDefault="001644EB">
                      <w:pPr>
                        <w:rPr>
                          <w:b/>
                        </w:rPr>
                      </w:pPr>
                      <w:r w:rsidRPr="001644EB">
                        <w:rPr>
                          <w:b/>
                        </w:rPr>
                        <w:t>Figure 1.   Hypolimnetic total phosphorus in Big Lake 2016</w:t>
                      </w:r>
                    </w:p>
                  </w:txbxContent>
                </v:textbox>
              </v:shape>
            </w:pict>
          </mc:Fallback>
        </mc:AlternateContent>
      </w:r>
      <w:r>
        <w:rPr>
          <w:noProof/>
        </w:rPr>
        <w:drawing>
          <wp:inline distT="0" distB="0" distL="0" distR="0" wp14:anchorId="05CD5D97" wp14:editId="328C24D3">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drawing>
          <wp:inline distT="0" distB="0" distL="0" distR="0" wp14:anchorId="561B5CB0" wp14:editId="72BFB2AA">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23D60" w:rsidRPr="00610193" w:rsidRDefault="00723D60" w:rsidP="001644EB">
      <w:pPr>
        <w:rPr>
          <w:rFonts w:ascii="Georgia" w:hAnsi="Georgia"/>
          <w:sz w:val="24"/>
          <w:szCs w:val="24"/>
        </w:rPr>
      </w:pPr>
      <w:r w:rsidRPr="00CA0810">
        <w:rPr>
          <w:rFonts w:ascii="Georgia" w:hAnsi="Georgia"/>
          <w:sz w:val="24"/>
          <w:szCs w:val="24"/>
        </w:rPr>
        <w:t>I</w:t>
      </w:r>
      <w:r>
        <w:rPr>
          <w:rFonts w:ascii="Georgia" w:hAnsi="Georgia"/>
          <w:sz w:val="24"/>
          <w:szCs w:val="24"/>
        </w:rPr>
        <w:t>nternal P-loading may delay the recovery of a lake once the external P-loading sources are reduced; therefore it is important that the fraction of available phosphorus (iron and manganese bound) is evaluated for predicting internal P-loading.  The major factors controlling P release are dissolved oxygen, nitrates, sulfates, and pH (</w:t>
      </w:r>
      <w:r w:rsidRPr="00610193">
        <w:rPr>
          <w:rFonts w:ascii="Georgia" w:hAnsi="Georgia"/>
          <w:sz w:val="24"/>
          <w:szCs w:val="24"/>
        </w:rPr>
        <w:t>Kaiserli et.al.</w:t>
      </w:r>
      <w:r w:rsidR="00610193" w:rsidRPr="00610193">
        <w:rPr>
          <w:rFonts w:ascii="Georgia" w:hAnsi="Georgia"/>
          <w:sz w:val="24"/>
          <w:szCs w:val="24"/>
        </w:rPr>
        <w:t xml:space="preserve"> 2002</w:t>
      </w:r>
      <w:r w:rsidRPr="00610193">
        <w:rPr>
          <w:rFonts w:ascii="Georgia" w:hAnsi="Georgia"/>
          <w:sz w:val="24"/>
          <w:szCs w:val="24"/>
        </w:rPr>
        <w:t>).</w:t>
      </w:r>
    </w:p>
    <w:p w:rsidR="00723D60" w:rsidRDefault="00723D60" w:rsidP="001644EB">
      <w:pPr>
        <w:rPr>
          <w:rFonts w:ascii="Georgia" w:hAnsi="Georgia"/>
          <w:sz w:val="24"/>
          <w:szCs w:val="24"/>
        </w:rPr>
      </w:pPr>
      <w:r>
        <w:rPr>
          <w:rFonts w:ascii="Georgia" w:hAnsi="Georgia"/>
          <w:sz w:val="24"/>
          <w:szCs w:val="24"/>
        </w:rPr>
        <w:t>Concentrations of nutrient binding elements, such as iron, depend greatly on the redox potential of the sediment.  A redox reaction is the flow of electrons between an oxidized and reduced state (for example iron moving from Fe</w:t>
      </w:r>
      <w:r>
        <w:rPr>
          <w:rFonts w:ascii="Georgia" w:hAnsi="Georgia"/>
          <w:sz w:val="24"/>
          <w:szCs w:val="24"/>
          <w:vertAlign w:val="superscript"/>
        </w:rPr>
        <w:t>3+</w:t>
      </w:r>
      <w:r>
        <w:rPr>
          <w:rFonts w:ascii="Georgia" w:hAnsi="Georgia"/>
          <w:sz w:val="24"/>
          <w:szCs w:val="24"/>
        </w:rPr>
        <w:t xml:space="preserve"> to Fe</w:t>
      </w:r>
      <w:r>
        <w:rPr>
          <w:rFonts w:ascii="Georgia" w:hAnsi="Georgia"/>
          <w:sz w:val="24"/>
          <w:szCs w:val="24"/>
          <w:vertAlign w:val="superscript"/>
        </w:rPr>
        <w:t>2+</w:t>
      </w:r>
      <w:r>
        <w:rPr>
          <w:rFonts w:ascii="Georgia" w:hAnsi="Georgia"/>
          <w:sz w:val="24"/>
          <w:szCs w:val="24"/>
        </w:rPr>
        <w:t xml:space="preserve"> and vice versa) the state of these elements is very important for the ability to bind to nutrients, particularly phosphorus (P).</w:t>
      </w:r>
    </w:p>
    <w:p w:rsidR="00723D60" w:rsidRDefault="00723D60" w:rsidP="00723D60">
      <w:pPr>
        <w:rPr>
          <w:rFonts w:ascii="Georgia" w:hAnsi="Georgia"/>
          <w:sz w:val="24"/>
          <w:szCs w:val="24"/>
        </w:rPr>
      </w:pPr>
      <w:r>
        <w:rPr>
          <w:rFonts w:ascii="Georgia" w:hAnsi="Georgia"/>
          <w:sz w:val="24"/>
          <w:szCs w:val="24"/>
        </w:rPr>
        <w:lastRenderedPageBreak/>
        <w:t>Iron is a very important micronutrient in aquatic systems.  It is essential for aquatic organisms in many ways including:  electron transport in oxidation-reduction systems of photosynthesis and respiration, it can be responsible for enzyme activation, and an oxygen carrier in nitrogen fixation in cyanobacteria (blue-green algae).</w:t>
      </w:r>
    </w:p>
    <w:p w:rsidR="00723D60" w:rsidRDefault="00723D60" w:rsidP="00723D60">
      <w:pPr>
        <w:rPr>
          <w:rFonts w:ascii="Georgia" w:hAnsi="Georgia"/>
          <w:sz w:val="24"/>
          <w:szCs w:val="24"/>
        </w:rPr>
      </w:pPr>
      <w:r>
        <w:rPr>
          <w:rFonts w:ascii="Georgia" w:hAnsi="Georgia"/>
          <w:sz w:val="24"/>
          <w:szCs w:val="24"/>
        </w:rPr>
        <w:t>Iron exists in solution in two different forms; either ferrous (Fe</w:t>
      </w:r>
      <w:r>
        <w:rPr>
          <w:rFonts w:ascii="Georgia" w:hAnsi="Georgia"/>
          <w:sz w:val="24"/>
          <w:szCs w:val="24"/>
          <w:vertAlign w:val="superscript"/>
        </w:rPr>
        <w:t>2+</w:t>
      </w:r>
      <w:r>
        <w:rPr>
          <w:rFonts w:ascii="Georgia" w:hAnsi="Georgia"/>
          <w:sz w:val="24"/>
          <w:szCs w:val="24"/>
        </w:rPr>
        <w:t>) or ferric (Fe</w:t>
      </w:r>
      <w:r>
        <w:rPr>
          <w:rFonts w:ascii="Georgia" w:hAnsi="Georgia"/>
          <w:sz w:val="24"/>
          <w:szCs w:val="24"/>
          <w:vertAlign w:val="superscript"/>
        </w:rPr>
        <w:t>3+</w:t>
      </w:r>
      <w:r>
        <w:rPr>
          <w:rFonts w:ascii="Georgia" w:hAnsi="Georgia"/>
          <w:sz w:val="24"/>
          <w:szCs w:val="24"/>
        </w:rPr>
        <w:t>).  The amounts of iron in solution in lakes and the rate of oxidation of Fe</w:t>
      </w:r>
      <w:r>
        <w:rPr>
          <w:rFonts w:ascii="Georgia" w:hAnsi="Georgia"/>
          <w:sz w:val="24"/>
          <w:szCs w:val="24"/>
          <w:vertAlign w:val="superscript"/>
        </w:rPr>
        <w:t>2+</w:t>
      </w:r>
      <w:r>
        <w:rPr>
          <w:rFonts w:ascii="Georgia" w:hAnsi="Georgia"/>
          <w:sz w:val="24"/>
          <w:szCs w:val="24"/>
        </w:rPr>
        <w:t xml:space="preserve"> to Fe</w:t>
      </w:r>
      <w:r>
        <w:rPr>
          <w:rFonts w:ascii="Georgia" w:hAnsi="Georgia"/>
          <w:sz w:val="24"/>
          <w:szCs w:val="24"/>
          <w:vertAlign w:val="superscript"/>
        </w:rPr>
        <w:t>3+</w:t>
      </w:r>
      <w:r w:rsidR="00443EB2">
        <w:rPr>
          <w:rFonts w:ascii="Georgia" w:hAnsi="Georgia"/>
          <w:sz w:val="24"/>
          <w:szCs w:val="24"/>
        </w:rPr>
        <w:t xml:space="preserve"> that </w:t>
      </w:r>
      <w:r>
        <w:rPr>
          <w:rFonts w:ascii="Georgia" w:hAnsi="Georgia"/>
          <w:sz w:val="24"/>
          <w:szCs w:val="24"/>
        </w:rPr>
        <w:t xml:space="preserve"> i</w:t>
      </w:r>
      <w:r w:rsidR="00443EB2">
        <w:rPr>
          <w:rFonts w:ascii="Georgia" w:hAnsi="Georgia"/>
          <w:sz w:val="24"/>
          <w:szCs w:val="24"/>
        </w:rPr>
        <w:t>s</w:t>
      </w:r>
      <w:r>
        <w:rPr>
          <w:rFonts w:ascii="Georgia" w:hAnsi="Georgia"/>
          <w:sz w:val="24"/>
          <w:szCs w:val="24"/>
        </w:rPr>
        <w:t xml:space="preserve"> oxygenated water are dependent on pH, reduction potential, and temperature.  Ferrous iron tends to be more soluble than ferric.  Under anaerobic conditions with low redox potential, in productive lakes</w:t>
      </w:r>
      <w:r w:rsidR="00443EB2">
        <w:rPr>
          <w:rFonts w:ascii="Georgia" w:hAnsi="Georgia"/>
          <w:sz w:val="24"/>
          <w:szCs w:val="24"/>
        </w:rPr>
        <w:t xml:space="preserve"> (such as Big</w:t>
      </w:r>
      <w:r>
        <w:rPr>
          <w:rFonts w:ascii="Georgia" w:hAnsi="Georgia"/>
          <w:sz w:val="24"/>
          <w:szCs w:val="24"/>
        </w:rPr>
        <w:t xml:space="preserve"> Lake) bacteria often reduce sulfate to sulfide which decreases the concentration of Fe</w:t>
      </w:r>
      <w:r>
        <w:rPr>
          <w:rFonts w:ascii="Georgia" w:hAnsi="Georgia"/>
          <w:sz w:val="24"/>
          <w:szCs w:val="24"/>
          <w:vertAlign w:val="superscript"/>
        </w:rPr>
        <w:t>2+</w:t>
      </w:r>
      <w:r>
        <w:rPr>
          <w:rFonts w:ascii="Georgia" w:hAnsi="Georgia"/>
          <w:sz w:val="24"/>
          <w:szCs w:val="24"/>
        </w:rPr>
        <w:t xml:space="preserve"> through the formation of insoluble FeS.  This, iron sulfide formation can reduce the abundance of Fe compounds that can complex to phosphorus and promote release of phosphorus from the sediment (</w:t>
      </w:r>
      <w:r w:rsidRPr="00610193">
        <w:rPr>
          <w:rFonts w:ascii="Georgia" w:hAnsi="Georgia"/>
          <w:sz w:val="24"/>
          <w:szCs w:val="24"/>
        </w:rPr>
        <w:t>Wetzel</w:t>
      </w:r>
      <w:r w:rsidR="00610193" w:rsidRPr="00610193">
        <w:rPr>
          <w:rFonts w:ascii="Georgia" w:hAnsi="Georgia"/>
          <w:sz w:val="24"/>
          <w:szCs w:val="24"/>
        </w:rPr>
        <w:t xml:space="preserve"> 2001</w:t>
      </w:r>
      <w:r w:rsidRPr="00610193">
        <w:rPr>
          <w:rFonts w:ascii="Georgia" w:hAnsi="Georgia"/>
          <w:sz w:val="24"/>
          <w:szCs w:val="24"/>
        </w:rPr>
        <w:t xml:space="preserve">).  </w:t>
      </w:r>
      <w:r>
        <w:rPr>
          <w:rFonts w:ascii="Georgia" w:hAnsi="Georgia"/>
          <w:sz w:val="24"/>
          <w:szCs w:val="24"/>
        </w:rPr>
        <w:t>If enough FeS precipitates you can remove enough Fe to get iron poor water making phosphorus more available for algae uptake.  This is sometimes called the Sulfur Trap.</w:t>
      </w:r>
    </w:p>
    <w:p w:rsidR="00723D60" w:rsidRDefault="00723D60" w:rsidP="00723D60">
      <w:pPr>
        <w:rPr>
          <w:rFonts w:ascii="Georgia" w:hAnsi="Georgia"/>
          <w:sz w:val="24"/>
          <w:szCs w:val="24"/>
        </w:rPr>
      </w:pPr>
      <w:r w:rsidRPr="00723D60">
        <w:rPr>
          <w:rFonts w:ascii="Georgia" w:hAnsi="Georgia"/>
          <w:noProof/>
          <w:sz w:val="24"/>
          <w:szCs w:val="24"/>
        </w:rPr>
        <mc:AlternateContent>
          <mc:Choice Requires="wps">
            <w:drawing>
              <wp:anchor distT="0" distB="0" distL="114300" distR="114300" simplePos="0" relativeHeight="251663360" behindDoc="0" locked="0" layoutInCell="1" allowOverlap="1" wp14:anchorId="596758C1" wp14:editId="6CC4CD76">
                <wp:simplePos x="0" y="0"/>
                <wp:positionH relativeFrom="column">
                  <wp:posOffset>1344930</wp:posOffset>
                </wp:positionH>
                <wp:positionV relativeFrom="paragraph">
                  <wp:posOffset>2908300</wp:posOffset>
                </wp:positionV>
                <wp:extent cx="2374265" cy="314325"/>
                <wp:effectExtent l="0" t="0" r="2286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4325"/>
                        </a:xfrm>
                        <a:prstGeom prst="rect">
                          <a:avLst/>
                        </a:prstGeom>
                        <a:solidFill>
                          <a:srgbClr val="FFFFFF"/>
                        </a:solidFill>
                        <a:ln w="9525">
                          <a:solidFill>
                            <a:schemeClr val="bg1"/>
                          </a:solidFill>
                          <a:miter lim="800000"/>
                          <a:headEnd/>
                          <a:tailEnd/>
                        </a:ln>
                      </wps:spPr>
                      <wps:txbx>
                        <w:txbxContent>
                          <w:p w:rsidR="00723D60" w:rsidRPr="001644EB" w:rsidRDefault="00723D60" w:rsidP="00723D60">
                            <w:pPr>
                              <w:rPr>
                                <w:b/>
                              </w:rPr>
                            </w:pPr>
                            <w:r w:rsidRPr="001644EB">
                              <w:rPr>
                                <w:b/>
                              </w:rPr>
                              <w:t>Fig</w:t>
                            </w:r>
                            <w:r>
                              <w:rPr>
                                <w:b/>
                              </w:rPr>
                              <w:t>ure 3</w:t>
                            </w:r>
                            <w:r w:rsidRPr="001644EB">
                              <w:rPr>
                                <w:b/>
                              </w:rPr>
                              <w:t xml:space="preserve">.   </w:t>
                            </w:r>
                            <w:r>
                              <w:rPr>
                                <w:b/>
                              </w:rPr>
                              <w:t>The sulfur-iron trap</w:t>
                            </w:r>
                          </w:p>
                          <w:p w:rsidR="00723D60" w:rsidRDefault="00723D6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105.9pt;margin-top:229pt;width:186.95pt;height:24.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" strokecolor="white [3212]">
                <v:textbox>
                  <w:txbxContent>
                    <w:p w:rsidR="00723D60" w:rsidRPr="001644EB" w:rsidRDefault="00723D60" w:rsidP="00723D60">
                      <w:pPr>
                        <w:rPr>
                          <w:b/>
                        </w:rPr>
                      </w:pPr>
                      <w:r w:rsidRPr="001644EB">
                        <w:rPr>
                          <w:b/>
                        </w:rPr>
                        <w:t>Fig</w:t>
                      </w:r>
                      <w:r>
                        <w:rPr>
                          <w:b/>
                        </w:rPr>
                        <w:t>ure 3</w:t>
                      </w:r>
                      <w:r w:rsidRPr="001644EB">
                        <w:rPr>
                          <w:b/>
                        </w:rPr>
                        <w:t xml:space="preserve">.   </w:t>
                      </w:r>
                      <w:r>
                        <w:rPr>
                          <w:b/>
                        </w:rPr>
                        <w:t>The sulfur-iron trap</w:t>
                      </w:r>
                    </w:p>
                    <w:p w:rsidR="00723D60" w:rsidRDefault="00723D60"/>
                  </w:txbxContent>
                </v:textbox>
              </v:shape>
            </w:pict>
          </mc:Fallback>
        </mc:AlternateContent>
      </w:r>
      <w:r>
        <w:rPr>
          <w:rFonts w:ascii="Georgia" w:hAnsi="Georgia"/>
          <w:noProof/>
          <w:sz w:val="24"/>
          <w:szCs w:val="24"/>
        </w:rPr>
        <w:drawing>
          <wp:inline distT="0" distB="0" distL="0" distR="0" wp14:anchorId="633C6DD9" wp14:editId="204F035D">
            <wp:extent cx="5943600" cy="3027045"/>
            <wp:effectExtent l="0" t="0" r="0" b="1905"/>
            <wp:docPr id="4" name="Picture 1" descr="C:\Users\jeremyw\Pictures\sulfurtrap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emyw\Pictures\sulfurtrap_crop.jpg"/>
                    <pic:cNvPicPr>
                      <a:picLocks noChangeAspect="1" noChangeArrowheads="1"/>
                    </pic:cNvPicPr>
                  </pic:nvPicPr>
                  <pic:blipFill>
                    <a:blip r:embed="rId8" cstate="print"/>
                    <a:srcRect/>
                    <a:stretch>
                      <a:fillRect/>
                    </a:stretch>
                  </pic:blipFill>
                  <pic:spPr bwMode="auto">
                    <a:xfrm>
                      <a:off x="0" y="0"/>
                      <a:ext cx="5943600" cy="3027045"/>
                    </a:xfrm>
                    <a:prstGeom prst="rect">
                      <a:avLst/>
                    </a:prstGeom>
                    <a:noFill/>
                    <a:ln w="9525">
                      <a:noFill/>
                      <a:miter lim="800000"/>
                      <a:headEnd/>
                      <a:tailEnd/>
                    </a:ln>
                  </pic:spPr>
                </pic:pic>
              </a:graphicData>
            </a:graphic>
          </wp:inline>
        </w:drawing>
      </w:r>
    </w:p>
    <w:p w:rsidR="00723D60" w:rsidRDefault="00723D60" w:rsidP="001644EB">
      <w:pPr>
        <w:rPr>
          <w:rFonts w:ascii="Georgia" w:hAnsi="Georgia"/>
          <w:sz w:val="24"/>
          <w:szCs w:val="24"/>
        </w:rPr>
      </w:pPr>
    </w:p>
    <w:p w:rsidR="00723D60" w:rsidRDefault="00723D60" w:rsidP="001644EB">
      <w:pPr>
        <w:rPr>
          <w:rFonts w:ascii="Georgia" w:hAnsi="Georgia"/>
          <w:sz w:val="24"/>
          <w:szCs w:val="24"/>
        </w:rPr>
      </w:pPr>
      <w:r>
        <w:rPr>
          <w:rFonts w:ascii="Georgia" w:hAnsi="Georgia"/>
          <w:sz w:val="24"/>
          <w:szCs w:val="24"/>
        </w:rPr>
        <w:t>Iron bonds (complexes) with many organic compounds (e.g. detritus), which greatly alters the solubility and availability to organisms.  Under anoxic conditions in the surface sediment and overlying w</w:t>
      </w:r>
      <w:r w:rsidR="00443EB2">
        <w:rPr>
          <w:rFonts w:ascii="Georgia" w:hAnsi="Georgia"/>
          <w:sz w:val="24"/>
          <w:szCs w:val="24"/>
        </w:rPr>
        <w:t xml:space="preserve">ater these complexes are reduced </w:t>
      </w:r>
      <w:r>
        <w:rPr>
          <w:rFonts w:ascii="Georgia" w:hAnsi="Georgia"/>
          <w:sz w:val="24"/>
          <w:szCs w:val="24"/>
        </w:rPr>
        <w:t>and phosphorus is released</w:t>
      </w:r>
      <w:r w:rsidR="00443EB2">
        <w:rPr>
          <w:rFonts w:ascii="Georgia" w:hAnsi="Georgia"/>
          <w:sz w:val="24"/>
          <w:szCs w:val="24"/>
        </w:rPr>
        <w:t xml:space="preserve">. </w:t>
      </w:r>
      <w:r>
        <w:rPr>
          <w:rFonts w:ascii="Georgia" w:hAnsi="Georgia"/>
          <w:sz w:val="24"/>
          <w:szCs w:val="24"/>
        </w:rPr>
        <w:t xml:space="preserve"> </w:t>
      </w:r>
      <w:r w:rsidR="00443EB2">
        <w:rPr>
          <w:rFonts w:ascii="Georgia" w:hAnsi="Georgia"/>
          <w:sz w:val="24"/>
          <w:szCs w:val="24"/>
        </w:rPr>
        <w:t>T</w:t>
      </w:r>
      <w:r>
        <w:rPr>
          <w:rFonts w:ascii="Georgia" w:hAnsi="Georgia"/>
          <w:sz w:val="24"/>
          <w:szCs w:val="24"/>
        </w:rPr>
        <w:t>he release rate from sediments doubles if the sediments are disturbed (though activities such as power boating for example) (</w:t>
      </w:r>
      <w:r w:rsidRPr="00610193">
        <w:rPr>
          <w:rFonts w:ascii="Georgia" w:hAnsi="Georgia"/>
          <w:sz w:val="24"/>
          <w:szCs w:val="24"/>
        </w:rPr>
        <w:t>Wetzel</w:t>
      </w:r>
      <w:r w:rsidR="00610193" w:rsidRPr="00610193">
        <w:rPr>
          <w:rFonts w:ascii="Georgia" w:hAnsi="Georgia"/>
          <w:sz w:val="24"/>
          <w:szCs w:val="24"/>
        </w:rPr>
        <w:t xml:space="preserve"> 2001</w:t>
      </w:r>
      <w:r w:rsidRPr="00610193">
        <w:rPr>
          <w:rFonts w:ascii="Georgia" w:hAnsi="Georgia"/>
          <w:sz w:val="24"/>
          <w:szCs w:val="24"/>
        </w:rPr>
        <w:t xml:space="preserve">).   </w:t>
      </w:r>
      <w:r>
        <w:rPr>
          <w:rFonts w:ascii="Georgia" w:hAnsi="Georgia"/>
          <w:sz w:val="24"/>
          <w:szCs w:val="24"/>
        </w:rPr>
        <w:t xml:space="preserve">However, the oxygen concentration and temperature of the water column of Big Lake seem to remain relatively stable throughout the growing season.  Constant mixing could significantly </w:t>
      </w:r>
      <w:r>
        <w:rPr>
          <w:rFonts w:ascii="Georgia" w:hAnsi="Georgia"/>
          <w:sz w:val="24"/>
          <w:szCs w:val="24"/>
        </w:rPr>
        <w:lastRenderedPageBreak/>
        <w:t>add to the internal load even during sort periods of anoxia.  For</w:t>
      </w:r>
      <w:r w:rsidR="00CE7D2A">
        <w:rPr>
          <w:rFonts w:ascii="Georgia" w:hAnsi="Georgia"/>
          <w:sz w:val="24"/>
          <w:szCs w:val="24"/>
        </w:rPr>
        <w:t xml:space="preserve"> </w:t>
      </w:r>
      <w:r>
        <w:rPr>
          <w:rFonts w:ascii="Georgia" w:hAnsi="Georgia"/>
          <w:sz w:val="24"/>
          <w:szCs w:val="24"/>
        </w:rPr>
        <w:t>instance</w:t>
      </w:r>
      <w:r w:rsidR="00CE7D2A">
        <w:rPr>
          <w:rFonts w:ascii="Georgia" w:hAnsi="Georgia"/>
          <w:sz w:val="24"/>
          <w:szCs w:val="24"/>
        </w:rPr>
        <w:t>,</w:t>
      </w:r>
      <w:r>
        <w:rPr>
          <w:rFonts w:ascii="Georgia" w:hAnsi="Georgia"/>
          <w:sz w:val="24"/>
          <w:szCs w:val="24"/>
        </w:rPr>
        <w:t xml:space="preserve"> there </w:t>
      </w:r>
      <w:r w:rsidR="00CE7D2A">
        <w:rPr>
          <w:rFonts w:ascii="Georgia" w:hAnsi="Georgia"/>
          <w:sz w:val="24"/>
          <w:szCs w:val="24"/>
        </w:rPr>
        <w:t>appears to be a significant release event around the 4</w:t>
      </w:r>
      <w:r w:rsidR="00CE7D2A" w:rsidRPr="00CE7D2A">
        <w:rPr>
          <w:rFonts w:ascii="Georgia" w:hAnsi="Georgia"/>
          <w:sz w:val="24"/>
          <w:szCs w:val="24"/>
          <w:vertAlign w:val="superscript"/>
        </w:rPr>
        <w:t>th</w:t>
      </w:r>
      <w:r w:rsidR="00CE7D2A">
        <w:rPr>
          <w:rFonts w:ascii="Georgia" w:hAnsi="Georgia"/>
          <w:sz w:val="24"/>
          <w:szCs w:val="24"/>
        </w:rPr>
        <w:t xml:space="preserve"> of July.</w:t>
      </w:r>
    </w:p>
    <w:p w:rsidR="00CE7D2A" w:rsidRDefault="00CE7D2A" w:rsidP="001644EB">
      <w:pPr>
        <w:rPr>
          <w:rFonts w:ascii="Georgia" w:hAnsi="Georgia"/>
          <w:sz w:val="24"/>
          <w:szCs w:val="24"/>
        </w:rPr>
      </w:pPr>
      <w:r w:rsidRPr="00CE7D2A">
        <w:rPr>
          <w:rFonts w:ascii="Georgia" w:hAnsi="Georgia"/>
          <w:noProof/>
          <w:sz w:val="24"/>
          <w:szCs w:val="24"/>
        </w:rPr>
        <mc:AlternateContent>
          <mc:Choice Requires="wps">
            <w:drawing>
              <wp:anchor distT="0" distB="0" distL="114300" distR="114300" simplePos="0" relativeHeight="251667456" behindDoc="0" locked="0" layoutInCell="1" allowOverlap="1" wp14:editId="36B11C9B">
                <wp:simplePos x="0" y="0"/>
                <wp:positionH relativeFrom="column">
                  <wp:posOffset>4724400</wp:posOffset>
                </wp:positionH>
                <wp:positionV relativeFrom="paragraph">
                  <wp:posOffset>332105</wp:posOffset>
                </wp:positionV>
                <wp:extent cx="1609725" cy="1403985"/>
                <wp:effectExtent l="0" t="0" r="28575" b="234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3985"/>
                        </a:xfrm>
                        <a:prstGeom prst="rect">
                          <a:avLst/>
                        </a:prstGeom>
                        <a:solidFill>
                          <a:srgbClr val="FFFFFF"/>
                        </a:solidFill>
                        <a:ln w="9525">
                          <a:solidFill>
                            <a:schemeClr val="bg1"/>
                          </a:solidFill>
                          <a:miter lim="800000"/>
                          <a:headEnd/>
                          <a:tailEnd/>
                        </a:ln>
                      </wps:spPr>
                      <wps:txbx>
                        <w:txbxContent>
                          <w:p w:rsidR="00CE7D2A" w:rsidRPr="001644EB" w:rsidRDefault="00CE7D2A" w:rsidP="00CE7D2A">
                            <w:pPr>
                              <w:rPr>
                                <w:b/>
                              </w:rPr>
                            </w:pPr>
                            <w:r w:rsidRPr="001644EB">
                              <w:rPr>
                                <w:b/>
                              </w:rPr>
                              <w:t>Fig</w:t>
                            </w:r>
                            <w:r>
                              <w:rPr>
                                <w:b/>
                              </w:rPr>
                              <w:t>ure 4</w:t>
                            </w:r>
                            <w:r w:rsidRPr="001644EB">
                              <w:rPr>
                                <w:b/>
                              </w:rPr>
                              <w:t xml:space="preserve">.   </w:t>
                            </w:r>
                            <w:r>
                              <w:rPr>
                                <w:b/>
                              </w:rPr>
                              <w:t xml:space="preserve">Dissolved oxygen profiles </w:t>
                            </w:r>
                            <w:r w:rsidRPr="001644EB">
                              <w:rPr>
                                <w:b/>
                              </w:rPr>
                              <w:t>Big Lake 2016</w:t>
                            </w:r>
                          </w:p>
                          <w:p w:rsidR="00CE7D2A" w:rsidRDefault="00CE7D2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72pt;margin-top:26.15pt;width:126.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" strokecolor="white [3212]">
                <v:textbox style="mso-fit-shape-to-text:t">
                  <w:txbxContent>
                    <w:p w:rsidR="00CE7D2A" w:rsidRPr="001644EB" w:rsidRDefault="00CE7D2A" w:rsidP="00CE7D2A">
                      <w:pPr>
                        <w:rPr>
                          <w:b/>
                        </w:rPr>
                      </w:pPr>
                      <w:r w:rsidRPr="001644EB">
                        <w:rPr>
                          <w:b/>
                        </w:rPr>
                        <w:t>Fig</w:t>
                      </w:r>
                      <w:r>
                        <w:rPr>
                          <w:b/>
                        </w:rPr>
                        <w:t>ure 4</w:t>
                      </w:r>
                      <w:r w:rsidRPr="001644EB">
                        <w:rPr>
                          <w:b/>
                        </w:rPr>
                        <w:t xml:space="preserve">.   </w:t>
                      </w:r>
                      <w:r>
                        <w:rPr>
                          <w:b/>
                        </w:rPr>
                        <w:t xml:space="preserve">Dissolved oxygen profiles </w:t>
                      </w:r>
                      <w:r w:rsidRPr="001644EB">
                        <w:rPr>
                          <w:b/>
                        </w:rPr>
                        <w:t>Big Lake 2016</w:t>
                      </w:r>
                    </w:p>
                    <w:p w:rsidR="00CE7D2A" w:rsidRDefault="00CE7D2A"/>
                  </w:txbxContent>
                </v:textbox>
              </v:shape>
            </w:pict>
          </mc:Fallback>
        </mc:AlternateContent>
      </w:r>
      <w:r>
        <w:rPr>
          <w:noProof/>
        </w:rPr>
        <w:drawing>
          <wp:inline distT="0" distB="0" distL="0" distR="0" wp14:anchorId="6C050E47" wp14:editId="6F3B608F">
            <wp:extent cx="4572000" cy="3309938"/>
            <wp:effectExtent l="0" t="0" r="19050" b="241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7D2A" w:rsidRDefault="00CE7D2A" w:rsidP="001644EB">
      <w:pPr>
        <w:rPr>
          <w:rFonts w:ascii="Georgia" w:hAnsi="Georgia"/>
          <w:sz w:val="24"/>
          <w:szCs w:val="24"/>
        </w:rPr>
      </w:pPr>
      <w:r w:rsidRPr="00CE7D2A">
        <w:rPr>
          <w:rFonts w:ascii="Georgia" w:hAnsi="Georgia"/>
          <w:noProof/>
          <w:sz w:val="24"/>
          <w:szCs w:val="24"/>
        </w:rPr>
        <mc:AlternateContent>
          <mc:Choice Requires="wps">
            <w:drawing>
              <wp:anchor distT="0" distB="0" distL="114300" distR="114300" simplePos="0" relativeHeight="251669504" behindDoc="0" locked="0" layoutInCell="1" allowOverlap="1" wp14:editId="36B11C9B">
                <wp:simplePos x="0" y="0"/>
                <wp:positionH relativeFrom="column">
                  <wp:posOffset>4724400</wp:posOffset>
                </wp:positionH>
                <wp:positionV relativeFrom="paragraph">
                  <wp:posOffset>264795</wp:posOffset>
                </wp:positionV>
                <wp:extent cx="1476375" cy="1403985"/>
                <wp:effectExtent l="0" t="0" r="28575"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solidFill>
                          <a:srgbClr val="FFFFFF"/>
                        </a:solidFill>
                        <a:ln w="9525">
                          <a:solidFill>
                            <a:schemeClr val="bg1"/>
                          </a:solidFill>
                          <a:miter lim="800000"/>
                          <a:headEnd/>
                          <a:tailEnd/>
                        </a:ln>
                      </wps:spPr>
                      <wps:txbx>
                        <w:txbxContent>
                          <w:p w:rsidR="00CE7D2A" w:rsidRPr="001644EB" w:rsidRDefault="00CE7D2A" w:rsidP="00CE7D2A">
                            <w:pPr>
                              <w:rPr>
                                <w:b/>
                              </w:rPr>
                            </w:pPr>
                            <w:r w:rsidRPr="001644EB">
                              <w:rPr>
                                <w:b/>
                              </w:rPr>
                              <w:t>Fig</w:t>
                            </w:r>
                            <w:r>
                              <w:rPr>
                                <w:b/>
                              </w:rPr>
                              <w:t>ure 5</w:t>
                            </w:r>
                            <w:r w:rsidRPr="001644EB">
                              <w:rPr>
                                <w:b/>
                              </w:rPr>
                              <w:t xml:space="preserve">.   </w:t>
                            </w:r>
                            <w:r>
                              <w:rPr>
                                <w:b/>
                              </w:rPr>
                              <w:t xml:space="preserve">Temperature  profiles </w:t>
                            </w:r>
                            <w:r w:rsidRPr="001644EB">
                              <w:rPr>
                                <w:b/>
                              </w:rPr>
                              <w:t>Big Lake 2016</w:t>
                            </w:r>
                          </w:p>
                          <w:p w:rsidR="00CE7D2A" w:rsidRDefault="00CE7D2A">
                            <w:r w:rsidRPr="001644EB">
                              <w:rPr>
                                <w: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72pt;margin-top:20.85pt;width:116.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" strokecolor="white [3212]">
                <v:textbox style="mso-fit-shape-to-text:t">
                  <w:txbxContent>
                    <w:p w:rsidR="00CE7D2A" w:rsidRPr="001644EB" w:rsidRDefault="00CE7D2A" w:rsidP="00CE7D2A">
                      <w:pPr>
                        <w:rPr>
                          <w:b/>
                        </w:rPr>
                      </w:pPr>
                      <w:r w:rsidRPr="001644EB">
                        <w:rPr>
                          <w:b/>
                        </w:rPr>
                        <w:t>Fig</w:t>
                      </w:r>
                      <w:r>
                        <w:rPr>
                          <w:b/>
                        </w:rPr>
                        <w:t>ure 5</w:t>
                      </w:r>
                      <w:r w:rsidRPr="001644EB">
                        <w:rPr>
                          <w:b/>
                        </w:rPr>
                        <w:t xml:space="preserve">.   </w:t>
                      </w:r>
                      <w:r>
                        <w:rPr>
                          <w:b/>
                        </w:rPr>
                        <w:t xml:space="preserve">Temperature </w:t>
                      </w:r>
                      <w:r>
                        <w:rPr>
                          <w:b/>
                        </w:rPr>
                        <w:t xml:space="preserve"> profiles </w:t>
                      </w:r>
                      <w:r w:rsidRPr="001644EB">
                        <w:rPr>
                          <w:b/>
                        </w:rPr>
                        <w:t>Big Lake 2016</w:t>
                      </w:r>
                    </w:p>
                    <w:p w:rsidR="00CE7D2A" w:rsidRDefault="00CE7D2A">
                      <w:r w:rsidRPr="001644EB">
                        <w:rPr>
                          <w:b/>
                        </w:rPr>
                        <w:t xml:space="preserve"> </w:t>
                      </w:r>
                    </w:p>
                  </w:txbxContent>
                </v:textbox>
              </v:shape>
            </w:pict>
          </mc:Fallback>
        </mc:AlternateContent>
      </w:r>
      <w:r>
        <w:rPr>
          <w:noProof/>
        </w:rPr>
        <w:drawing>
          <wp:inline distT="0" distB="0" distL="0" distR="0" wp14:anchorId="0D26D424" wp14:editId="48E69509">
            <wp:extent cx="4572000" cy="3414713"/>
            <wp:effectExtent l="0" t="0" r="19050"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7D2A" w:rsidRDefault="00CE7D2A" w:rsidP="001644EB">
      <w:pPr>
        <w:rPr>
          <w:rFonts w:ascii="Georgia" w:hAnsi="Georgia"/>
          <w:sz w:val="24"/>
          <w:szCs w:val="24"/>
        </w:rPr>
      </w:pPr>
    </w:p>
    <w:p w:rsidR="00CE7D2A" w:rsidRDefault="00CE7D2A" w:rsidP="001644EB">
      <w:pPr>
        <w:rPr>
          <w:rFonts w:ascii="Georgia" w:hAnsi="Georgia"/>
          <w:sz w:val="24"/>
          <w:szCs w:val="24"/>
        </w:rPr>
      </w:pPr>
      <w:r w:rsidRPr="00CE7D2A">
        <w:rPr>
          <w:rFonts w:ascii="Georgia" w:hAnsi="Georgia"/>
          <w:noProof/>
          <w:sz w:val="24"/>
          <w:szCs w:val="24"/>
        </w:rPr>
        <w:lastRenderedPageBreak/>
        <mc:AlternateContent>
          <mc:Choice Requires="wps">
            <w:drawing>
              <wp:anchor distT="0" distB="0" distL="114300" distR="114300" simplePos="0" relativeHeight="251665408" behindDoc="0" locked="0" layoutInCell="1" allowOverlap="1" wp14:editId="36B11C9B">
                <wp:simplePos x="0" y="0"/>
                <wp:positionH relativeFrom="column">
                  <wp:posOffset>4743450</wp:posOffset>
                </wp:positionH>
                <wp:positionV relativeFrom="paragraph">
                  <wp:posOffset>503555</wp:posOffset>
                </wp:positionV>
                <wp:extent cx="1323975" cy="1403985"/>
                <wp:effectExtent l="0" t="0" r="28575"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solidFill>
                          <a:srgbClr val="FFFFFF"/>
                        </a:solidFill>
                        <a:ln w="9525">
                          <a:solidFill>
                            <a:schemeClr val="bg1"/>
                          </a:solidFill>
                          <a:miter lim="800000"/>
                          <a:headEnd/>
                          <a:tailEnd/>
                        </a:ln>
                      </wps:spPr>
                      <wps:txbx>
                        <w:txbxContent>
                          <w:p w:rsidR="00CE7D2A" w:rsidRPr="001644EB" w:rsidRDefault="00CE7D2A" w:rsidP="00CE7D2A">
                            <w:pPr>
                              <w:rPr>
                                <w:b/>
                              </w:rPr>
                            </w:pPr>
                            <w:r w:rsidRPr="001644EB">
                              <w:rPr>
                                <w:b/>
                              </w:rPr>
                              <w:t>Fig</w:t>
                            </w:r>
                            <w:r>
                              <w:rPr>
                                <w:b/>
                              </w:rPr>
                              <w:t>ure 6</w:t>
                            </w:r>
                            <w:r w:rsidRPr="001644EB">
                              <w:rPr>
                                <w:b/>
                              </w:rPr>
                              <w:t>.   Hy</w:t>
                            </w:r>
                            <w:r>
                              <w:rPr>
                                <w:b/>
                              </w:rPr>
                              <w:t xml:space="preserve">polimnetic iron concentrations </w:t>
                            </w:r>
                            <w:r w:rsidRPr="001644EB">
                              <w:rPr>
                                <w:b/>
                              </w:rPr>
                              <w:t>in Big Lake 2016</w:t>
                            </w:r>
                          </w:p>
                          <w:p w:rsidR="00CE7D2A" w:rsidRDefault="00CE7D2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73.5pt;margin-top:39.65pt;width:104.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" strokecolor="white [3212]">
                <v:textbox style="mso-fit-shape-to-text:t">
                  <w:txbxContent>
                    <w:p w:rsidR="00CE7D2A" w:rsidRPr="001644EB" w:rsidRDefault="00CE7D2A" w:rsidP="00CE7D2A">
                      <w:pPr>
                        <w:rPr>
                          <w:b/>
                        </w:rPr>
                      </w:pPr>
                      <w:r w:rsidRPr="001644EB">
                        <w:rPr>
                          <w:b/>
                        </w:rPr>
                        <w:t>Fig</w:t>
                      </w:r>
                      <w:r>
                        <w:rPr>
                          <w:b/>
                        </w:rPr>
                        <w:t>ure 6</w:t>
                      </w:r>
                      <w:r w:rsidRPr="001644EB">
                        <w:rPr>
                          <w:b/>
                        </w:rPr>
                        <w:t>.   Hy</w:t>
                      </w:r>
                      <w:r>
                        <w:rPr>
                          <w:b/>
                        </w:rPr>
                        <w:t xml:space="preserve">polimnetic iron concentrations </w:t>
                      </w:r>
                      <w:r w:rsidRPr="001644EB">
                        <w:rPr>
                          <w:b/>
                        </w:rPr>
                        <w:t>in Big Lake 2016</w:t>
                      </w:r>
                    </w:p>
                    <w:p w:rsidR="00CE7D2A" w:rsidRDefault="00CE7D2A"/>
                  </w:txbxContent>
                </v:textbox>
              </v:shape>
            </w:pict>
          </mc:Fallback>
        </mc:AlternateContent>
      </w:r>
      <w:r>
        <w:rPr>
          <w:noProof/>
        </w:rPr>
        <w:drawing>
          <wp:inline distT="0" distB="0" distL="0" distR="0" wp14:anchorId="5A4E1DD9" wp14:editId="6BF7874B">
            <wp:extent cx="4572000" cy="2890837"/>
            <wp:effectExtent l="0" t="0" r="19050"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3782" w:rsidRPr="00610193" w:rsidRDefault="001F3782" w:rsidP="001F3782">
      <w:pPr>
        <w:rPr>
          <w:rFonts w:ascii="Georgia" w:hAnsi="Georgia"/>
          <w:sz w:val="24"/>
          <w:szCs w:val="24"/>
        </w:rPr>
      </w:pPr>
      <w:r>
        <w:rPr>
          <w:rFonts w:ascii="Georgia" w:hAnsi="Georgia"/>
          <w:sz w:val="24"/>
          <w:szCs w:val="24"/>
        </w:rPr>
        <w:t xml:space="preserve">Sulfur is utilized by all living organisms in both inorganic and organic forms.  Sources of sulfur compounds to natural waters include solubilization from rock, fertilizers, precipitation and dry deposition.  Most (about 90%) of the total sulfur content in lake basins is found in the organic matter of mineral soil.  Therefore much of the loading of sulfur compounds to lakes is in the form of sulfate and soluble organic sulfur </w:t>
      </w:r>
      <w:r w:rsidRPr="00610193">
        <w:rPr>
          <w:rFonts w:ascii="Georgia" w:hAnsi="Georgia"/>
          <w:sz w:val="24"/>
          <w:szCs w:val="24"/>
        </w:rPr>
        <w:t>compounds (Wetzel</w:t>
      </w:r>
      <w:r w:rsidR="00610193" w:rsidRPr="00610193">
        <w:rPr>
          <w:rFonts w:ascii="Georgia" w:hAnsi="Georgia"/>
          <w:sz w:val="24"/>
          <w:szCs w:val="24"/>
        </w:rPr>
        <w:t xml:space="preserve"> 2001</w:t>
      </w:r>
      <w:r w:rsidRPr="00610193">
        <w:rPr>
          <w:rFonts w:ascii="Georgia" w:hAnsi="Georgia"/>
          <w:sz w:val="24"/>
          <w:szCs w:val="24"/>
        </w:rPr>
        <w:t>).</w:t>
      </w:r>
    </w:p>
    <w:p w:rsidR="001F3782" w:rsidRPr="00610193" w:rsidRDefault="001F3782" w:rsidP="001F3782">
      <w:pPr>
        <w:rPr>
          <w:rFonts w:ascii="Georgia" w:hAnsi="Georgia"/>
          <w:sz w:val="24"/>
          <w:szCs w:val="24"/>
        </w:rPr>
      </w:pPr>
      <w:r w:rsidRPr="00610193">
        <w:rPr>
          <w:rFonts w:ascii="Georgia" w:hAnsi="Georgia"/>
          <w:sz w:val="24"/>
          <w:szCs w:val="24"/>
        </w:rPr>
        <w:t>The cycling of sulfur entails the different sulfur chemical species under various conditions, the biotic influences, and sulfur transport within the lake.  The predominant for</w:t>
      </w:r>
      <w:r w:rsidR="00443EB2">
        <w:rPr>
          <w:rFonts w:ascii="Georgia" w:hAnsi="Georgia"/>
          <w:sz w:val="24"/>
          <w:szCs w:val="24"/>
        </w:rPr>
        <w:t>m</w:t>
      </w:r>
      <w:r w:rsidRPr="00610193">
        <w:rPr>
          <w:rFonts w:ascii="Georgia" w:hAnsi="Georgia"/>
          <w:sz w:val="24"/>
          <w:szCs w:val="24"/>
        </w:rPr>
        <w:t xml:space="preserve"> of sulfur in water is sulfate; nearly all assimilation of sulfur is as sulfate.</w:t>
      </w:r>
    </w:p>
    <w:p w:rsidR="001F3782" w:rsidRPr="00610193" w:rsidRDefault="001F3782" w:rsidP="001F3782">
      <w:pPr>
        <w:rPr>
          <w:rFonts w:ascii="Georgia" w:hAnsi="Georgia"/>
          <w:sz w:val="24"/>
          <w:szCs w:val="24"/>
        </w:rPr>
      </w:pPr>
      <w:r w:rsidRPr="00610193">
        <w:rPr>
          <w:rFonts w:ascii="Georgia" w:hAnsi="Georgia"/>
          <w:sz w:val="24"/>
          <w:szCs w:val="24"/>
        </w:rPr>
        <w:t>Sulfur that</w:t>
      </w:r>
      <w:r w:rsidR="00443EB2">
        <w:rPr>
          <w:rFonts w:ascii="Georgia" w:hAnsi="Georgia"/>
          <w:sz w:val="24"/>
          <w:szCs w:val="24"/>
        </w:rPr>
        <w:t xml:space="preserve"> reacts</w:t>
      </w:r>
      <w:r w:rsidRPr="00610193">
        <w:rPr>
          <w:rFonts w:ascii="Georgia" w:hAnsi="Georgia"/>
          <w:sz w:val="24"/>
          <w:szCs w:val="24"/>
        </w:rPr>
        <w:t xml:space="preserve"> with metals to form metal sulfides </w:t>
      </w:r>
      <w:proofErr w:type="gramStart"/>
      <w:r w:rsidRPr="00610193">
        <w:rPr>
          <w:rFonts w:ascii="Georgia" w:hAnsi="Georgia"/>
          <w:sz w:val="24"/>
          <w:szCs w:val="24"/>
        </w:rPr>
        <w:t>are</w:t>
      </w:r>
      <w:proofErr w:type="gramEnd"/>
      <w:r w:rsidRPr="00610193">
        <w:rPr>
          <w:rFonts w:ascii="Georgia" w:hAnsi="Georgia"/>
          <w:sz w:val="24"/>
          <w:szCs w:val="24"/>
        </w:rPr>
        <w:t xml:space="preserve"> extremely insoluble, so when Fe</w:t>
      </w:r>
      <w:r w:rsidRPr="00610193">
        <w:rPr>
          <w:rFonts w:ascii="Georgia" w:hAnsi="Georgia"/>
          <w:sz w:val="24"/>
          <w:szCs w:val="24"/>
          <w:vertAlign w:val="superscript"/>
        </w:rPr>
        <w:t>+2</w:t>
      </w:r>
      <w:r w:rsidRPr="00610193">
        <w:rPr>
          <w:rFonts w:ascii="Georgia" w:hAnsi="Georgia"/>
          <w:sz w:val="24"/>
          <w:szCs w:val="24"/>
        </w:rPr>
        <w:t xml:space="preserve"> is released from the sediment, it reacts vigorously with S to form FeS.  Because the FeS is so insoluble iron is not available to bind with phosphorus (Wetzel</w:t>
      </w:r>
      <w:r w:rsidR="00610193" w:rsidRPr="00610193">
        <w:rPr>
          <w:rFonts w:ascii="Georgia" w:hAnsi="Georgia"/>
          <w:sz w:val="24"/>
          <w:szCs w:val="24"/>
        </w:rPr>
        <w:t xml:space="preserve"> 2001</w:t>
      </w:r>
      <w:r w:rsidRPr="00610193">
        <w:rPr>
          <w:rFonts w:ascii="Georgia" w:hAnsi="Georgia"/>
          <w:sz w:val="24"/>
          <w:szCs w:val="24"/>
        </w:rPr>
        <w:t>).  This appears to be occurring in Big Lake, sulfate concentrations go down significantly after what appears to be a release of iron from the sediment on July 5</w:t>
      </w:r>
      <w:r w:rsidRPr="00610193">
        <w:rPr>
          <w:rFonts w:ascii="Georgia" w:hAnsi="Georgia"/>
          <w:sz w:val="24"/>
          <w:szCs w:val="24"/>
          <w:vertAlign w:val="superscript"/>
        </w:rPr>
        <w:t>th</w:t>
      </w:r>
      <w:r w:rsidRPr="00610193">
        <w:rPr>
          <w:rFonts w:ascii="Georgia" w:hAnsi="Georgia"/>
          <w:sz w:val="24"/>
          <w:szCs w:val="24"/>
        </w:rPr>
        <w:t>.</w:t>
      </w:r>
    </w:p>
    <w:p w:rsidR="001F3782" w:rsidRDefault="001F3782" w:rsidP="001F3782">
      <w:pPr>
        <w:rPr>
          <w:rFonts w:ascii="Georgia" w:hAnsi="Georgia"/>
          <w:sz w:val="24"/>
          <w:szCs w:val="24"/>
        </w:rPr>
      </w:pPr>
      <w:r w:rsidRPr="00CE7D2A">
        <w:rPr>
          <w:rFonts w:ascii="Georgia" w:hAnsi="Georgia"/>
          <w:noProof/>
          <w:sz w:val="24"/>
          <w:szCs w:val="24"/>
        </w:rPr>
        <w:lastRenderedPageBreak/>
        <mc:AlternateContent>
          <mc:Choice Requires="wps">
            <w:drawing>
              <wp:anchor distT="0" distB="0" distL="114300" distR="114300" simplePos="0" relativeHeight="251671552" behindDoc="0" locked="0" layoutInCell="1" allowOverlap="1" wp14:anchorId="6F0CA2A5" wp14:editId="52C88382">
                <wp:simplePos x="0" y="0"/>
                <wp:positionH relativeFrom="column">
                  <wp:posOffset>4676775</wp:posOffset>
                </wp:positionH>
                <wp:positionV relativeFrom="paragraph">
                  <wp:posOffset>657225</wp:posOffset>
                </wp:positionV>
                <wp:extent cx="1543050" cy="1403985"/>
                <wp:effectExtent l="0" t="0" r="19050" b="177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solidFill>
                            <a:schemeClr val="bg1"/>
                          </a:solidFill>
                          <a:miter lim="800000"/>
                          <a:headEnd/>
                          <a:tailEnd/>
                        </a:ln>
                      </wps:spPr>
                      <wps:txbx>
                        <w:txbxContent>
                          <w:p w:rsidR="001F3782" w:rsidRPr="001644EB" w:rsidRDefault="001F3782" w:rsidP="001F3782">
                            <w:pPr>
                              <w:rPr>
                                <w:b/>
                              </w:rPr>
                            </w:pPr>
                            <w:r w:rsidRPr="001644EB">
                              <w:rPr>
                                <w:b/>
                              </w:rPr>
                              <w:t>Fig</w:t>
                            </w:r>
                            <w:r>
                              <w:rPr>
                                <w:b/>
                              </w:rPr>
                              <w:t>ure 7</w:t>
                            </w:r>
                            <w:r w:rsidRPr="001644EB">
                              <w:rPr>
                                <w:b/>
                              </w:rPr>
                              <w:t>.   Hy</w:t>
                            </w:r>
                            <w:r>
                              <w:rPr>
                                <w:b/>
                              </w:rPr>
                              <w:t xml:space="preserve">polimnetic sulfate concentrations </w:t>
                            </w:r>
                            <w:r w:rsidRPr="001644EB">
                              <w:rPr>
                                <w:b/>
                              </w:rPr>
                              <w:t>in Big Lake 2016</w:t>
                            </w:r>
                          </w:p>
                          <w:p w:rsidR="001F3782" w:rsidRDefault="001F3782" w:rsidP="001F37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68.25pt;margin-top:51.75pt;width:12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" strokecolor="white [3212]">
                <v:textbox style="mso-fit-shape-to-text:t">
                  <w:txbxContent>
                    <w:p w:rsidR="001F3782" w:rsidRPr="001644EB" w:rsidRDefault="001F3782" w:rsidP="001F3782">
                      <w:pPr>
                        <w:rPr>
                          <w:b/>
                        </w:rPr>
                      </w:pPr>
                      <w:r w:rsidRPr="001644EB">
                        <w:rPr>
                          <w:b/>
                        </w:rPr>
                        <w:t>Fig</w:t>
                      </w:r>
                      <w:r>
                        <w:rPr>
                          <w:b/>
                        </w:rPr>
                        <w:t>ure 7</w:t>
                      </w:r>
                      <w:r w:rsidRPr="001644EB">
                        <w:rPr>
                          <w:b/>
                        </w:rPr>
                        <w:t>.   Hy</w:t>
                      </w:r>
                      <w:r>
                        <w:rPr>
                          <w:b/>
                        </w:rPr>
                        <w:t xml:space="preserve">polimnetic </w:t>
                      </w:r>
                      <w:r>
                        <w:rPr>
                          <w:b/>
                        </w:rPr>
                        <w:t>sulfate</w:t>
                      </w:r>
                      <w:r>
                        <w:rPr>
                          <w:b/>
                        </w:rPr>
                        <w:t xml:space="preserve"> concentrations </w:t>
                      </w:r>
                      <w:r w:rsidRPr="001644EB">
                        <w:rPr>
                          <w:b/>
                        </w:rPr>
                        <w:t>in Big Lake 2016</w:t>
                      </w:r>
                    </w:p>
                    <w:p w:rsidR="001F3782" w:rsidRDefault="001F3782" w:rsidP="001F3782"/>
                  </w:txbxContent>
                </v:textbox>
              </v:shape>
            </w:pict>
          </mc:Fallback>
        </mc:AlternateContent>
      </w:r>
      <w:r>
        <w:rPr>
          <w:noProof/>
        </w:rPr>
        <w:drawing>
          <wp:inline distT="0" distB="0" distL="0" distR="0" wp14:anchorId="5DA2CCA4" wp14:editId="4991879E">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3782" w:rsidRDefault="00C80F8D" w:rsidP="001F3782">
      <w:pPr>
        <w:rPr>
          <w:rFonts w:ascii="Georgia" w:hAnsi="Georgia"/>
          <w:sz w:val="24"/>
          <w:szCs w:val="24"/>
        </w:rPr>
      </w:pPr>
      <w:r w:rsidRPr="00CE7D2A">
        <w:rPr>
          <w:rFonts w:ascii="Georgia" w:hAnsi="Georgia"/>
          <w:noProof/>
          <w:sz w:val="24"/>
          <w:szCs w:val="24"/>
        </w:rPr>
        <mc:AlternateContent>
          <mc:Choice Requires="wps">
            <w:drawing>
              <wp:anchor distT="0" distB="0" distL="114300" distR="114300" simplePos="0" relativeHeight="251674624" behindDoc="0" locked="0" layoutInCell="1" allowOverlap="1" wp14:anchorId="5DF206D0" wp14:editId="28FC4370">
                <wp:simplePos x="0" y="0"/>
                <wp:positionH relativeFrom="column">
                  <wp:posOffset>628650</wp:posOffset>
                </wp:positionH>
                <wp:positionV relativeFrom="paragraph">
                  <wp:posOffset>3561715</wp:posOffset>
                </wp:positionV>
                <wp:extent cx="4772025" cy="3238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323850"/>
                        </a:xfrm>
                        <a:prstGeom prst="rect">
                          <a:avLst/>
                        </a:prstGeom>
                        <a:solidFill>
                          <a:srgbClr val="FFFFFF"/>
                        </a:solidFill>
                        <a:ln w="9525">
                          <a:solidFill>
                            <a:schemeClr val="bg1"/>
                          </a:solidFill>
                          <a:miter lim="800000"/>
                          <a:headEnd/>
                          <a:tailEnd/>
                        </a:ln>
                      </wps:spPr>
                      <wps:txbx>
                        <w:txbxContent>
                          <w:p w:rsidR="00C80F8D" w:rsidRPr="001644EB" w:rsidRDefault="00C80F8D" w:rsidP="00C80F8D">
                            <w:pPr>
                              <w:rPr>
                                <w:b/>
                              </w:rPr>
                            </w:pPr>
                            <w:r w:rsidRPr="001644EB">
                              <w:rPr>
                                <w:b/>
                              </w:rPr>
                              <w:t>Fig</w:t>
                            </w:r>
                            <w:r>
                              <w:rPr>
                                <w:b/>
                              </w:rPr>
                              <w:t>ure 8</w:t>
                            </w:r>
                            <w:r w:rsidRPr="001644EB">
                              <w:rPr>
                                <w:b/>
                              </w:rPr>
                              <w:t xml:space="preserve">.   </w:t>
                            </w:r>
                            <w:r>
                              <w:rPr>
                                <w:b/>
                              </w:rPr>
                              <w:t>Relationship of sulfate and total phosphorus to iron</w:t>
                            </w:r>
                          </w:p>
                          <w:p w:rsidR="00C80F8D" w:rsidRDefault="00C80F8D" w:rsidP="00C80F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9.5pt;margin-top:280.45pt;width:375.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" strokecolor="white [3212]">
                <v:textbox>
                  <w:txbxContent>
                    <w:p w:rsidR="00C80F8D" w:rsidRPr="001644EB" w:rsidRDefault="00C80F8D" w:rsidP="00C80F8D">
                      <w:pPr>
                        <w:rPr>
                          <w:b/>
                        </w:rPr>
                      </w:pPr>
                      <w:r w:rsidRPr="001644EB">
                        <w:rPr>
                          <w:b/>
                        </w:rPr>
                        <w:t>Fig</w:t>
                      </w:r>
                      <w:r>
                        <w:rPr>
                          <w:b/>
                        </w:rPr>
                        <w:t>ure 8</w:t>
                      </w:r>
                      <w:r w:rsidRPr="001644EB">
                        <w:rPr>
                          <w:b/>
                        </w:rPr>
                        <w:t xml:space="preserve">.   </w:t>
                      </w:r>
                      <w:r>
                        <w:rPr>
                          <w:b/>
                        </w:rPr>
                        <w:t>Relationship of sulfate and total phosphorus to iron</w:t>
                      </w:r>
                    </w:p>
                    <w:p w:rsidR="00C80F8D" w:rsidRDefault="00C80F8D" w:rsidP="00C80F8D"/>
                  </w:txbxContent>
                </v:textbox>
              </v:shape>
            </w:pict>
          </mc:Fallback>
        </mc:AlternateContent>
      </w:r>
      <w:r>
        <w:rPr>
          <w:rFonts w:ascii="Georgia" w:hAnsi="Georgia"/>
          <w:noProof/>
          <w:sz w:val="24"/>
          <w:szCs w:val="24"/>
        </w:rPr>
        <w:drawing>
          <wp:anchor distT="0" distB="0" distL="114300" distR="114300" simplePos="0" relativeHeight="251672576" behindDoc="0" locked="0" layoutInCell="1" allowOverlap="1" wp14:anchorId="14128053" wp14:editId="24D1B5C3">
            <wp:simplePos x="0" y="0"/>
            <wp:positionH relativeFrom="column">
              <wp:posOffset>3220827</wp:posOffset>
            </wp:positionH>
            <wp:positionV relativeFrom="paragraph">
              <wp:posOffset>1414145</wp:posOffset>
            </wp:positionV>
            <wp:extent cx="3000375" cy="2048815"/>
            <wp:effectExtent l="0" t="0" r="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4 Fe relationship.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0375" cy="2048815"/>
                    </a:xfrm>
                    <a:prstGeom prst="rect">
                      <a:avLst/>
                    </a:prstGeom>
                  </pic:spPr>
                </pic:pic>
              </a:graphicData>
            </a:graphic>
            <wp14:sizeRelH relativeFrom="page">
              <wp14:pctWidth>0</wp14:pctWidth>
            </wp14:sizeRelH>
            <wp14:sizeRelV relativeFrom="page">
              <wp14:pctHeight>0</wp14:pctHeight>
            </wp14:sizeRelV>
          </wp:anchor>
        </w:drawing>
      </w:r>
      <w:r w:rsidR="001F3782">
        <w:rPr>
          <w:rFonts w:ascii="Georgia" w:hAnsi="Georgia"/>
          <w:sz w:val="24"/>
          <w:szCs w:val="24"/>
        </w:rPr>
        <w:t>The data collected gives the appearance that there is a significant internal load occurring in Big Lake.  However the lack of the appearance of anoxia based on citizen monitoring is troublesome (there could however be a very thin anoxic lay</w:t>
      </w:r>
      <w:r w:rsidR="00443EB2">
        <w:rPr>
          <w:rFonts w:ascii="Georgia" w:hAnsi="Georgia"/>
          <w:sz w:val="24"/>
          <w:szCs w:val="24"/>
        </w:rPr>
        <w:t>er</w:t>
      </w:r>
      <w:r w:rsidR="001F3782">
        <w:rPr>
          <w:rFonts w:ascii="Georgia" w:hAnsi="Georgia"/>
          <w:sz w:val="24"/>
          <w:szCs w:val="24"/>
        </w:rPr>
        <w:t xml:space="preserve"> of water near the sediment water interface that would be very difficult to sample).  The data was analyzed using the statistica</w:t>
      </w:r>
      <w:r>
        <w:rPr>
          <w:rFonts w:ascii="Georgia" w:hAnsi="Georgia"/>
          <w:sz w:val="24"/>
          <w:szCs w:val="24"/>
        </w:rPr>
        <w:t>l program R to examine relation</w:t>
      </w:r>
      <w:r w:rsidR="001F3782">
        <w:rPr>
          <w:rFonts w:ascii="Georgia" w:hAnsi="Georgia"/>
          <w:sz w:val="24"/>
          <w:szCs w:val="24"/>
        </w:rPr>
        <w:t>ships between the different parameters</w:t>
      </w:r>
      <w:r>
        <w:rPr>
          <w:rFonts w:ascii="Georgia" w:hAnsi="Georgia"/>
          <w:sz w:val="24"/>
          <w:szCs w:val="24"/>
        </w:rPr>
        <w:t>.  The data was bootstrapped 4,999 times and linear regressions were done.</w:t>
      </w:r>
      <w:r w:rsidRPr="00C80F8D">
        <w:rPr>
          <w:rFonts w:ascii="Georgia" w:hAnsi="Georgia"/>
          <w:noProof/>
          <w:sz w:val="24"/>
          <w:szCs w:val="24"/>
        </w:rPr>
        <w:t xml:space="preserve"> </w:t>
      </w:r>
      <w:r>
        <w:rPr>
          <w:rFonts w:ascii="Georgia" w:hAnsi="Georgia"/>
          <w:noProof/>
          <w:sz w:val="24"/>
          <w:szCs w:val="24"/>
        </w:rPr>
        <w:drawing>
          <wp:inline distT="0" distB="0" distL="0" distR="0" wp14:anchorId="1C36C9DE" wp14:editId="7CEAFCD2">
            <wp:extent cx="3409950" cy="23283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 Fe relationship.jpeg"/>
                    <pic:cNvPicPr/>
                  </pic:nvPicPr>
                  <pic:blipFill>
                    <a:blip r:embed="rId14">
                      <a:extLst>
                        <a:ext uri="{28A0092B-C50C-407E-A947-70E740481C1C}">
                          <a14:useLocalDpi xmlns:a14="http://schemas.microsoft.com/office/drawing/2010/main" val="0"/>
                        </a:ext>
                      </a:extLst>
                    </a:blip>
                    <a:stretch>
                      <a:fillRect/>
                    </a:stretch>
                  </pic:blipFill>
                  <pic:spPr>
                    <a:xfrm>
                      <a:off x="0" y="0"/>
                      <a:ext cx="3410795" cy="2328888"/>
                    </a:xfrm>
                    <a:prstGeom prst="rect">
                      <a:avLst/>
                    </a:prstGeom>
                  </pic:spPr>
                </pic:pic>
              </a:graphicData>
            </a:graphic>
          </wp:inline>
        </w:drawing>
      </w:r>
    </w:p>
    <w:p w:rsidR="00CE7D2A" w:rsidRDefault="00CE7D2A" w:rsidP="001644EB">
      <w:pPr>
        <w:rPr>
          <w:rFonts w:ascii="Georgia" w:hAnsi="Georgia"/>
          <w:sz w:val="24"/>
          <w:szCs w:val="24"/>
        </w:rPr>
      </w:pPr>
    </w:p>
    <w:p w:rsidR="00C80F8D" w:rsidRDefault="00C80F8D" w:rsidP="001644EB">
      <w:pPr>
        <w:rPr>
          <w:rFonts w:ascii="Georgia" w:hAnsi="Georgia"/>
          <w:sz w:val="24"/>
          <w:szCs w:val="24"/>
        </w:rPr>
      </w:pPr>
      <w:r>
        <w:rPr>
          <w:rFonts w:ascii="Georgia" w:hAnsi="Georgia"/>
          <w:sz w:val="24"/>
          <w:szCs w:val="24"/>
        </w:rPr>
        <w:t>The most significant relationship appears to be the concentration of total phosphorus to TP:SO</w:t>
      </w:r>
      <w:r w:rsidRPr="00C80F8D">
        <w:rPr>
          <w:rFonts w:ascii="Georgia" w:hAnsi="Georgia"/>
          <w:sz w:val="24"/>
          <w:szCs w:val="24"/>
          <w:vertAlign w:val="subscript"/>
        </w:rPr>
        <w:t>4</w:t>
      </w:r>
      <w:r>
        <w:rPr>
          <w:rFonts w:ascii="Georgia" w:hAnsi="Georgia"/>
          <w:sz w:val="24"/>
          <w:szCs w:val="24"/>
        </w:rPr>
        <w:t xml:space="preserve">.  This gives the indication that iron is releasing phosphorus and precipitating back to the sediment as FeS.  However, the </w:t>
      </w:r>
      <w:r w:rsidR="007432EA">
        <w:rPr>
          <w:rFonts w:ascii="Georgia" w:hAnsi="Georgia"/>
          <w:sz w:val="24"/>
          <w:szCs w:val="24"/>
        </w:rPr>
        <w:t>confidence intervals do show quite a bit of variation.</w:t>
      </w:r>
    </w:p>
    <w:p w:rsidR="00C80F8D" w:rsidRDefault="00C80F8D" w:rsidP="00C80F8D">
      <w:pPr>
        <w:jc w:val="center"/>
        <w:rPr>
          <w:rFonts w:ascii="Georgia" w:hAnsi="Georgia"/>
          <w:sz w:val="24"/>
          <w:szCs w:val="24"/>
        </w:rPr>
      </w:pPr>
      <w:r w:rsidRPr="00CE7D2A">
        <w:rPr>
          <w:rFonts w:ascii="Georgia" w:hAnsi="Georgia"/>
          <w:noProof/>
          <w:sz w:val="24"/>
          <w:szCs w:val="24"/>
        </w:rPr>
        <w:lastRenderedPageBreak/>
        <mc:AlternateContent>
          <mc:Choice Requires="wps">
            <w:drawing>
              <wp:anchor distT="0" distB="0" distL="114300" distR="114300" simplePos="0" relativeHeight="251676672" behindDoc="0" locked="0" layoutInCell="1" allowOverlap="1" wp14:anchorId="7F330AE1" wp14:editId="64355046">
                <wp:simplePos x="0" y="0"/>
                <wp:positionH relativeFrom="column">
                  <wp:posOffset>447675</wp:posOffset>
                </wp:positionH>
                <wp:positionV relativeFrom="paragraph">
                  <wp:posOffset>3428999</wp:posOffset>
                </wp:positionV>
                <wp:extent cx="4772025" cy="79057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90575"/>
                        </a:xfrm>
                        <a:prstGeom prst="rect">
                          <a:avLst/>
                        </a:prstGeom>
                        <a:solidFill>
                          <a:srgbClr val="FFFFFF"/>
                        </a:solidFill>
                        <a:ln w="9525">
                          <a:solidFill>
                            <a:schemeClr val="bg1"/>
                          </a:solidFill>
                          <a:miter lim="800000"/>
                          <a:headEnd/>
                          <a:tailEnd/>
                        </a:ln>
                      </wps:spPr>
                      <wps:txbx>
                        <w:txbxContent>
                          <w:p w:rsidR="00C80F8D" w:rsidRPr="007432EA" w:rsidRDefault="00C80F8D" w:rsidP="00C80F8D">
                            <w:pPr>
                              <w:rPr>
                                <w:b/>
                              </w:rPr>
                            </w:pPr>
                            <w:r w:rsidRPr="001644EB">
                              <w:rPr>
                                <w:b/>
                              </w:rPr>
                              <w:t>Fig</w:t>
                            </w:r>
                            <w:r>
                              <w:rPr>
                                <w:b/>
                              </w:rPr>
                              <w:t>ure 8</w:t>
                            </w:r>
                            <w:r w:rsidRPr="001644EB">
                              <w:rPr>
                                <w:b/>
                              </w:rPr>
                              <w:t xml:space="preserve">.   </w:t>
                            </w:r>
                            <w:r>
                              <w:rPr>
                                <w:b/>
                              </w:rPr>
                              <w:t xml:space="preserve">Relationship of </w:t>
                            </w:r>
                            <w:r w:rsidR="007432EA">
                              <w:rPr>
                                <w:b/>
                              </w:rPr>
                              <w:t xml:space="preserve">total phosphorus </w:t>
                            </w:r>
                            <w:r>
                              <w:rPr>
                                <w:b/>
                              </w:rPr>
                              <w:t xml:space="preserve">and </w:t>
                            </w:r>
                            <w:r w:rsidR="007432EA">
                              <w:rPr>
                                <w:b/>
                              </w:rPr>
                              <w:t>TP:SO</w:t>
                            </w:r>
                            <w:r w:rsidR="007432EA" w:rsidRPr="007432EA">
                              <w:rPr>
                                <w:b/>
                                <w:vertAlign w:val="superscript"/>
                              </w:rPr>
                              <w:t>4</w:t>
                            </w:r>
                            <w:r w:rsidR="007432EA">
                              <w:rPr>
                                <w:b/>
                              </w:rPr>
                              <w:t>.  Ellipsoids represent 0.5, 0.95, and 0.99 confidence intervals</w:t>
                            </w:r>
                            <w:r w:rsidR="00364558">
                              <w:rPr>
                                <w:b/>
                              </w:rPr>
                              <w:t xml:space="preserve"> from the outside ellipse to the inner most ellipse.  The red point represents the center of the dataset</w:t>
                            </w:r>
                            <w:r w:rsidR="007432EA">
                              <w:rPr>
                                <w:b/>
                              </w:rPr>
                              <w:t xml:space="preserve"> </w:t>
                            </w:r>
                          </w:p>
                          <w:p w:rsidR="00C80F8D" w:rsidRDefault="00C80F8D" w:rsidP="00C80F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5.25pt;margin-top:270pt;width:375.75pt;height:6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" strokecolor="white [3212]">
                <v:textbox>
                  <w:txbxContent>
                    <w:p w:rsidR="00C80F8D" w:rsidRPr="007432EA" w:rsidRDefault="00C80F8D" w:rsidP="00C80F8D">
                      <w:pPr>
                        <w:rPr>
                          <w:b/>
                        </w:rPr>
                      </w:pPr>
                      <w:r w:rsidRPr="001644EB">
                        <w:rPr>
                          <w:b/>
                        </w:rPr>
                        <w:t>Fig</w:t>
                      </w:r>
                      <w:r>
                        <w:rPr>
                          <w:b/>
                        </w:rPr>
                        <w:t>ure 8</w:t>
                      </w:r>
                      <w:r w:rsidRPr="001644EB">
                        <w:rPr>
                          <w:b/>
                        </w:rPr>
                        <w:t xml:space="preserve">.   </w:t>
                      </w:r>
                      <w:r>
                        <w:rPr>
                          <w:b/>
                        </w:rPr>
                        <w:t xml:space="preserve">Relationship of </w:t>
                      </w:r>
                      <w:r w:rsidR="007432EA">
                        <w:rPr>
                          <w:b/>
                        </w:rPr>
                        <w:t xml:space="preserve">total phosphorus </w:t>
                      </w:r>
                      <w:r>
                        <w:rPr>
                          <w:b/>
                        </w:rPr>
                        <w:t xml:space="preserve">and </w:t>
                      </w:r>
                      <w:r w:rsidR="007432EA">
                        <w:rPr>
                          <w:b/>
                        </w:rPr>
                        <w:t>TP:SO</w:t>
                      </w:r>
                      <w:r w:rsidR="007432EA" w:rsidRPr="007432EA">
                        <w:rPr>
                          <w:b/>
                          <w:vertAlign w:val="superscript"/>
                        </w:rPr>
                        <w:t>4</w:t>
                      </w:r>
                      <w:r w:rsidR="007432EA">
                        <w:rPr>
                          <w:b/>
                        </w:rPr>
                        <w:t>.  Ellipsoids represent 0.5, 0.95, and 0.99 confidence intervals</w:t>
                      </w:r>
                      <w:r w:rsidR="00364558">
                        <w:rPr>
                          <w:b/>
                        </w:rPr>
                        <w:t xml:space="preserve"> from the outside ellipse to the inner most ellipse.  The red point represents the center of the dataset</w:t>
                      </w:r>
                      <w:r w:rsidR="007432EA">
                        <w:rPr>
                          <w:b/>
                        </w:rPr>
                        <w:t xml:space="preserve"> </w:t>
                      </w:r>
                    </w:p>
                    <w:p w:rsidR="00C80F8D" w:rsidRDefault="00C80F8D" w:rsidP="00C80F8D"/>
                  </w:txbxContent>
                </v:textbox>
              </v:shape>
            </w:pict>
          </mc:Fallback>
        </mc:AlternateContent>
      </w:r>
      <w:r>
        <w:rPr>
          <w:rFonts w:ascii="Georgia" w:hAnsi="Georgia"/>
          <w:noProof/>
          <w:sz w:val="24"/>
          <w:szCs w:val="24"/>
        </w:rPr>
        <w:drawing>
          <wp:inline distT="0" distB="0" distL="0" distR="0" wp14:anchorId="7E23C4F3" wp14:editId="3D479BDC">
            <wp:extent cx="5181600" cy="3537992"/>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 TP-SO4.jpeg"/>
                    <pic:cNvPicPr/>
                  </pic:nvPicPr>
                  <pic:blipFill>
                    <a:blip r:embed="rId15">
                      <a:extLst>
                        <a:ext uri="{28A0092B-C50C-407E-A947-70E740481C1C}">
                          <a14:useLocalDpi xmlns:a14="http://schemas.microsoft.com/office/drawing/2010/main" val="0"/>
                        </a:ext>
                      </a:extLst>
                    </a:blip>
                    <a:stretch>
                      <a:fillRect/>
                    </a:stretch>
                  </pic:blipFill>
                  <pic:spPr>
                    <a:xfrm>
                      <a:off x="0" y="0"/>
                      <a:ext cx="5182411" cy="3538546"/>
                    </a:xfrm>
                    <a:prstGeom prst="rect">
                      <a:avLst/>
                    </a:prstGeom>
                  </pic:spPr>
                </pic:pic>
              </a:graphicData>
            </a:graphic>
          </wp:inline>
        </w:drawing>
      </w:r>
    </w:p>
    <w:p w:rsidR="00C80F8D" w:rsidRDefault="00C80F8D" w:rsidP="00C80F8D">
      <w:pPr>
        <w:rPr>
          <w:rFonts w:ascii="Georgia" w:hAnsi="Georgia"/>
          <w:sz w:val="24"/>
          <w:szCs w:val="24"/>
        </w:rPr>
      </w:pPr>
    </w:p>
    <w:p w:rsidR="00364558" w:rsidRDefault="00364558" w:rsidP="00C80F8D">
      <w:pPr>
        <w:tabs>
          <w:tab w:val="left" w:pos="2295"/>
        </w:tabs>
        <w:rPr>
          <w:rFonts w:ascii="Georgia" w:hAnsi="Georgia"/>
          <w:sz w:val="24"/>
          <w:szCs w:val="24"/>
        </w:rPr>
      </w:pPr>
    </w:p>
    <w:p w:rsidR="00C66595" w:rsidRDefault="00E07DE5" w:rsidP="00C80F8D">
      <w:pPr>
        <w:tabs>
          <w:tab w:val="left" w:pos="2295"/>
        </w:tabs>
        <w:rPr>
          <w:rFonts w:ascii="Georgia" w:hAnsi="Georgia"/>
          <w:sz w:val="24"/>
          <w:szCs w:val="24"/>
        </w:rPr>
      </w:pPr>
      <w:r>
        <w:rPr>
          <w:rFonts w:ascii="Georgia" w:hAnsi="Georgia"/>
          <w:sz w:val="24"/>
          <w:szCs w:val="24"/>
        </w:rPr>
        <w:t xml:space="preserve">When the data is used to model internal loading from the sediment it suggests a significant </w:t>
      </w:r>
      <w:r w:rsidR="00207013">
        <w:rPr>
          <w:rFonts w:ascii="Georgia" w:hAnsi="Georgia"/>
          <w:sz w:val="24"/>
          <w:szCs w:val="24"/>
        </w:rPr>
        <w:t xml:space="preserve">net </w:t>
      </w:r>
      <w:r>
        <w:rPr>
          <w:rFonts w:ascii="Georgia" w:hAnsi="Georgia"/>
          <w:sz w:val="24"/>
          <w:szCs w:val="24"/>
        </w:rPr>
        <w:t>internal load as part of the nutrient budget.</w:t>
      </w:r>
      <w:r w:rsidR="00C66595">
        <w:rPr>
          <w:rFonts w:ascii="Georgia" w:hAnsi="Georgia"/>
          <w:sz w:val="24"/>
          <w:szCs w:val="24"/>
        </w:rPr>
        <w:t xml:space="preserve"> </w:t>
      </w:r>
      <w:r w:rsidR="00207013">
        <w:rPr>
          <w:rFonts w:ascii="Georgia" w:hAnsi="Georgia"/>
          <w:sz w:val="24"/>
          <w:szCs w:val="24"/>
        </w:rPr>
        <w:t>Net internal load (L</w:t>
      </w:r>
      <w:r w:rsidR="00207013">
        <w:rPr>
          <w:rFonts w:ascii="Georgia" w:hAnsi="Georgia"/>
          <w:sz w:val="24"/>
          <w:szCs w:val="24"/>
          <w:vertAlign w:val="subscript"/>
        </w:rPr>
        <w:t>int-1</w:t>
      </w:r>
      <w:r w:rsidR="00207013">
        <w:rPr>
          <w:rFonts w:ascii="Georgia" w:hAnsi="Georgia"/>
          <w:sz w:val="24"/>
          <w:szCs w:val="24"/>
        </w:rPr>
        <w:t>) consists of sediment released P that is diminished by subsequent settling.  Gross internal load (L</w:t>
      </w:r>
      <w:r w:rsidR="00207013">
        <w:rPr>
          <w:rFonts w:ascii="Georgia" w:hAnsi="Georgia"/>
          <w:sz w:val="24"/>
          <w:szCs w:val="24"/>
          <w:vertAlign w:val="subscript"/>
        </w:rPr>
        <w:t>int</w:t>
      </w:r>
      <w:r w:rsidR="00207013">
        <w:rPr>
          <w:rFonts w:ascii="Georgia" w:hAnsi="Georgia"/>
          <w:sz w:val="24"/>
          <w:szCs w:val="24"/>
        </w:rPr>
        <w:t xml:space="preserve">)  is the total quantity of sediment released P </w:t>
      </w:r>
      <w:r w:rsidR="00443EB2">
        <w:rPr>
          <w:rFonts w:ascii="Georgia" w:hAnsi="Georgia"/>
          <w:sz w:val="24"/>
          <w:szCs w:val="24"/>
        </w:rPr>
        <w:t>u</w:t>
      </w:r>
      <w:r w:rsidR="00C66595">
        <w:rPr>
          <w:rFonts w:ascii="Georgia" w:hAnsi="Georgia"/>
          <w:sz w:val="24"/>
          <w:szCs w:val="24"/>
        </w:rPr>
        <w:t xml:space="preserve">sing the equation: </w:t>
      </w:r>
    </w:p>
    <w:p w:rsidR="00C80F8D" w:rsidRDefault="00C66595" w:rsidP="00C66595">
      <w:pPr>
        <w:tabs>
          <w:tab w:val="left" w:pos="2295"/>
        </w:tabs>
        <w:jc w:val="center"/>
        <w:rPr>
          <w:rFonts w:ascii="Georgia" w:hAnsi="Georgia"/>
          <w:sz w:val="24"/>
          <w:szCs w:val="24"/>
        </w:rPr>
      </w:pPr>
      <w:r>
        <w:rPr>
          <w:rFonts w:ascii="Georgia" w:hAnsi="Georgia"/>
          <w:sz w:val="24"/>
          <w:szCs w:val="24"/>
        </w:rPr>
        <w:t>L</w:t>
      </w:r>
      <w:r w:rsidRPr="00C66595">
        <w:rPr>
          <w:rFonts w:ascii="Georgia" w:hAnsi="Georgia"/>
          <w:sz w:val="24"/>
          <w:szCs w:val="24"/>
          <w:vertAlign w:val="subscript"/>
        </w:rPr>
        <w:t xml:space="preserve">int-1 </w:t>
      </w:r>
      <w:r>
        <w:rPr>
          <w:rFonts w:ascii="Georgia" w:hAnsi="Georgia"/>
          <w:sz w:val="24"/>
          <w:szCs w:val="24"/>
        </w:rPr>
        <w:t>= (P_t</w:t>
      </w:r>
      <w:r w:rsidRPr="00C66595">
        <w:rPr>
          <w:rFonts w:ascii="Georgia" w:hAnsi="Georgia"/>
          <w:sz w:val="24"/>
          <w:szCs w:val="24"/>
          <w:vertAlign w:val="subscript"/>
        </w:rPr>
        <w:t>2</w:t>
      </w:r>
      <w:r>
        <w:rPr>
          <w:rFonts w:ascii="Georgia" w:hAnsi="Georgia"/>
          <w:sz w:val="24"/>
          <w:szCs w:val="24"/>
        </w:rPr>
        <w:t xml:space="preserve"> x V_</w:t>
      </w:r>
      <w:r w:rsidRPr="00C66595">
        <w:rPr>
          <w:rFonts w:ascii="Georgia" w:hAnsi="Georgia"/>
          <w:sz w:val="24"/>
          <w:szCs w:val="24"/>
          <w:vertAlign w:val="subscript"/>
        </w:rPr>
        <w:t>t2</w:t>
      </w:r>
      <w:r>
        <w:rPr>
          <w:rFonts w:ascii="Georgia" w:hAnsi="Georgia"/>
          <w:sz w:val="24"/>
          <w:szCs w:val="24"/>
        </w:rPr>
        <w:t xml:space="preserve"> – P_</w:t>
      </w:r>
      <w:r w:rsidRPr="00C66595">
        <w:rPr>
          <w:rFonts w:ascii="Georgia" w:hAnsi="Georgia"/>
          <w:sz w:val="24"/>
          <w:szCs w:val="24"/>
          <w:vertAlign w:val="subscript"/>
        </w:rPr>
        <w:t>t1</w:t>
      </w:r>
      <w:r>
        <w:rPr>
          <w:rFonts w:ascii="Georgia" w:hAnsi="Georgia"/>
          <w:sz w:val="24"/>
          <w:szCs w:val="24"/>
        </w:rPr>
        <w:t xml:space="preserve"> x V_</w:t>
      </w:r>
      <w:r w:rsidRPr="00C66595">
        <w:rPr>
          <w:rFonts w:ascii="Georgia" w:hAnsi="Georgia"/>
          <w:sz w:val="24"/>
          <w:szCs w:val="24"/>
          <w:vertAlign w:val="subscript"/>
        </w:rPr>
        <w:t>t1</w:t>
      </w:r>
      <w:r>
        <w:rPr>
          <w:rFonts w:ascii="Georgia" w:hAnsi="Georgia"/>
          <w:sz w:val="24"/>
          <w:szCs w:val="24"/>
        </w:rPr>
        <w:t>) / (A</w:t>
      </w:r>
      <w:r w:rsidRPr="00C66595">
        <w:rPr>
          <w:rFonts w:ascii="Georgia" w:hAnsi="Georgia"/>
          <w:sz w:val="24"/>
          <w:szCs w:val="24"/>
          <w:vertAlign w:val="subscript"/>
        </w:rPr>
        <w:t>o</w:t>
      </w:r>
      <w:r>
        <w:rPr>
          <w:rFonts w:ascii="Georgia" w:hAnsi="Georgia"/>
          <w:sz w:val="24"/>
          <w:szCs w:val="24"/>
        </w:rPr>
        <w:t>),</w:t>
      </w:r>
    </w:p>
    <w:p w:rsidR="00207013" w:rsidRDefault="00C66595" w:rsidP="00C66595">
      <w:pPr>
        <w:tabs>
          <w:tab w:val="left" w:pos="2295"/>
        </w:tabs>
        <w:rPr>
          <w:rFonts w:ascii="Georgia" w:hAnsi="Georgia"/>
          <w:sz w:val="24"/>
          <w:szCs w:val="24"/>
        </w:rPr>
      </w:pPr>
      <w:r>
        <w:rPr>
          <w:rFonts w:ascii="Georgia" w:hAnsi="Georgia"/>
          <w:sz w:val="24"/>
          <w:szCs w:val="24"/>
        </w:rPr>
        <w:t>Where t</w:t>
      </w:r>
      <w:r w:rsidRPr="00C66595">
        <w:rPr>
          <w:rFonts w:ascii="Georgia" w:hAnsi="Georgia"/>
          <w:sz w:val="24"/>
          <w:szCs w:val="24"/>
          <w:vertAlign w:val="subscript"/>
        </w:rPr>
        <w:t>1</w:t>
      </w:r>
      <w:r>
        <w:rPr>
          <w:rFonts w:ascii="Georgia" w:hAnsi="Georgia"/>
          <w:sz w:val="24"/>
          <w:szCs w:val="24"/>
        </w:rPr>
        <w:t xml:space="preserve"> is the initial date and t</w:t>
      </w:r>
      <w:r w:rsidRPr="00C66595">
        <w:rPr>
          <w:rFonts w:ascii="Georgia" w:hAnsi="Georgia"/>
          <w:sz w:val="24"/>
          <w:szCs w:val="24"/>
          <w:vertAlign w:val="subscript"/>
        </w:rPr>
        <w:t>2</w:t>
      </w:r>
      <w:r>
        <w:rPr>
          <w:rFonts w:ascii="Georgia" w:hAnsi="Georgia"/>
          <w:sz w:val="24"/>
          <w:szCs w:val="24"/>
        </w:rPr>
        <w:t xml:space="preserve"> is the date at the end period (Julian day), P_t is the correspondent P concentration, and V_t is the correspondent lake volume, and A</w:t>
      </w:r>
      <w:r w:rsidRPr="00C66595">
        <w:rPr>
          <w:rFonts w:ascii="Georgia" w:hAnsi="Georgia"/>
          <w:sz w:val="24"/>
          <w:szCs w:val="24"/>
          <w:vertAlign w:val="subscript"/>
        </w:rPr>
        <w:t>o</w:t>
      </w:r>
      <w:r>
        <w:rPr>
          <w:rFonts w:ascii="Georgia" w:hAnsi="Georgia"/>
          <w:sz w:val="24"/>
          <w:szCs w:val="24"/>
        </w:rPr>
        <w:t xml:space="preserve"> is the lake surface area</w:t>
      </w:r>
      <w:r w:rsidR="00207013">
        <w:rPr>
          <w:rFonts w:ascii="Georgia" w:hAnsi="Georgia"/>
          <w:sz w:val="24"/>
          <w:szCs w:val="24"/>
        </w:rPr>
        <w:t xml:space="preserve">; the internal load was predicted to be 202 kg (445 </w:t>
      </w:r>
      <w:r w:rsidR="00610193">
        <w:rPr>
          <w:rFonts w:ascii="Georgia" w:hAnsi="Georgia"/>
          <w:sz w:val="24"/>
          <w:szCs w:val="24"/>
        </w:rPr>
        <w:t>lbs.</w:t>
      </w:r>
      <w:r w:rsidR="00207013">
        <w:rPr>
          <w:rFonts w:ascii="Georgia" w:hAnsi="Georgia"/>
          <w:sz w:val="24"/>
          <w:szCs w:val="24"/>
        </w:rPr>
        <w:t xml:space="preserve">) or 46.2 percent of the load.  This model uses </w:t>
      </w:r>
      <w:r w:rsidR="00207013" w:rsidRPr="00207013">
        <w:rPr>
          <w:rFonts w:ascii="Georgia" w:hAnsi="Georgia"/>
          <w:i/>
          <w:sz w:val="24"/>
          <w:szCs w:val="24"/>
        </w:rPr>
        <w:t>in situ</w:t>
      </w:r>
      <w:r w:rsidR="00207013">
        <w:rPr>
          <w:rFonts w:ascii="Georgia" w:hAnsi="Georgia"/>
          <w:sz w:val="24"/>
          <w:szCs w:val="24"/>
        </w:rPr>
        <w:t xml:space="preserve"> increases of P concentration throughout the summer period.  Because lake levels were not monitored in 2016, they were not considered</w:t>
      </w:r>
      <w:r w:rsidR="00225BFF">
        <w:rPr>
          <w:rFonts w:ascii="Georgia" w:hAnsi="Georgia"/>
          <w:sz w:val="24"/>
          <w:szCs w:val="24"/>
        </w:rPr>
        <w:t xml:space="preserve"> (Nürnberg et al 2012)</w:t>
      </w:r>
      <w:r w:rsidR="00207013">
        <w:rPr>
          <w:rFonts w:ascii="Georgia" w:hAnsi="Georgia"/>
          <w:sz w:val="24"/>
          <w:szCs w:val="24"/>
        </w:rPr>
        <w:t>.</w:t>
      </w:r>
    </w:p>
    <w:p w:rsidR="00364558" w:rsidRDefault="00364558" w:rsidP="00364558">
      <w:pPr>
        <w:rPr>
          <w:rFonts w:ascii="Georgia" w:hAnsi="Georgia"/>
          <w:sz w:val="24"/>
          <w:szCs w:val="24"/>
        </w:rPr>
      </w:pPr>
      <w:r>
        <w:rPr>
          <w:rFonts w:ascii="Georgia" w:hAnsi="Georgia"/>
          <w:sz w:val="24"/>
          <w:szCs w:val="24"/>
        </w:rPr>
        <w:t xml:space="preserve">All data collected and modeling  indicates that the internal loading component of the nutrient budget is very significant.  The senescence (dying back) of </w:t>
      </w:r>
      <w:r w:rsidRPr="00916102">
        <w:rPr>
          <w:rFonts w:ascii="Georgia" w:hAnsi="Georgia"/>
          <w:i/>
          <w:sz w:val="24"/>
          <w:szCs w:val="24"/>
        </w:rPr>
        <w:t>Potamogeton crispus</w:t>
      </w:r>
      <w:r>
        <w:rPr>
          <w:rFonts w:ascii="Georgia" w:hAnsi="Georgia"/>
          <w:sz w:val="24"/>
          <w:szCs w:val="24"/>
        </w:rPr>
        <w:t xml:space="preserve"> (CLP) may contribute slightly, but likely the main release mechanism is the release of phosphorus bound to iron because of changes in redox potential at the sediment water interface and sediment </w:t>
      </w:r>
      <w:r w:rsidR="00610193">
        <w:rPr>
          <w:rFonts w:ascii="Georgia" w:hAnsi="Georgia"/>
          <w:sz w:val="24"/>
          <w:szCs w:val="24"/>
        </w:rPr>
        <w:t>resuspension</w:t>
      </w:r>
      <w:r>
        <w:rPr>
          <w:rFonts w:ascii="Georgia" w:hAnsi="Georgia"/>
          <w:sz w:val="24"/>
          <w:szCs w:val="24"/>
        </w:rPr>
        <w:t xml:space="preserve">.  </w:t>
      </w:r>
    </w:p>
    <w:p w:rsidR="00364558" w:rsidRDefault="00364558" w:rsidP="00364558">
      <w:pPr>
        <w:rPr>
          <w:rFonts w:ascii="Georgia" w:hAnsi="Georgia"/>
          <w:sz w:val="24"/>
          <w:szCs w:val="24"/>
        </w:rPr>
      </w:pPr>
      <w:r>
        <w:rPr>
          <w:rFonts w:ascii="Georgia" w:hAnsi="Georgia"/>
          <w:sz w:val="24"/>
          <w:szCs w:val="24"/>
        </w:rPr>
        <w:lastRenderedPageBreak/>
        <w:t xml:space="preserve">Because of the importance of the sediment phosphorus pool in Big  Lake further study of sediment release is warranted.  </w:t>
      </w:r>
      <w:r w:rsidRPr="009C36EF">
        <w:rPr>
          <w:rFonts w:ascii="Georgia" w:hAnsi="Georgia"/>
          <w:i/>
          <w:sz w:val="24"/>
          <w:szCs w:val="24"/>
        </w:rPr>
        <w:t>In situ</w:t>
      </w:r>
      <w:r>
        <w:rPr>
          <w:rFonts w:ascii="Georgia" w:hAnsi="Georgia"/>
          <w:sz w:val="24"/>
          <w:szCs w:val="24"/>
        </w:rPr>
        <w:t xml:space="preserve"> sediment release rates should be measured with benthic flux chambers over a series of years in several locations to accurately calculate actual P release from the sediment</w:t>
      </w:r>
      <w:r w:rsidR="008667D9">
        <w:rPr>
          <w:rFonts w:ascii="Georgia" w:hAnsi="Georgia"/>
          <w:sz w:val="24"/>
          <w:szCs w:val="24"/>
        </w:rPr>
        <w:t>, or in incubation chambers</w:t>
      </w:r>
      <w:r>
        <w:rPr>
          <w:rFonts w:ascii="Georgia" w:hAnsi="Georgia"/>
          <w:sz w:val="24"/>
          <w:szCs w:val="24"/>
        </w:rPr>
        <w:t>.  In addition, sediment cores should be collected and species of phosphorus should be fractioned using sequential extractions (</w:t>
      </w:r>
      <w:r w:rsidRPr="00610193">
        <w:rPr>
          <w:rFonts w:ascii="Georgia" w:hAnsi="Georgia"/>
          <w:sz w:val="24"/>
          <w:szCs w:val="24"/>
        </w:rPr>
        <w:t>Engstrom and Wright 1984</w:t>
      </w:r>
      <w:r w:rsidR="00092AB2">
        <w:rPr>
          <w:rFonts w:ascii="Georgia" w:hAnsi="Georgia"/>
          <w:sz w:val="24"/>
          <w:szCs w:val="24"/>
        </w:rPr>
        <w:t>).  W</w:t>
      </w:r>
      <w:r>
        <w:rPr>
          <w:rFonts w:ascii="Georgia" w:hAnsi="Georgia"/>
          <w:sz w:val="24"/>
          <w:szCs w:val="24"/>
        </w:rPr>
        <w:t xml:space="preserve">ater column phosphorus </w:t>
      </w:r>
      <w:r w:rsidR="00443EB2">
        <w:rPr>
          <w:rFonts w:ascii="Georgia" w:hAnsi="Georgia"/>
          <w:sz w:val="24"/>
          <w:szCs w:val="24"/>
        </w:rPr>
        <w:t xml:space="preserve">can </w:t>
      </w:r>
      <w:r>
        <w:rPr>
          <w:rFonts w:ascii="Georgia" w:hAnsi="Georgia"/>
          <w:sz w:val="24"/>
          <w:szCs w:val="24"/>
        </w:rPr>
        <w:t xml:space="preserve">be reconstructed </w:t>
      </w:r>
      <w:r w:rsidR="008667D9">
        <w:rPr>
          <w:rFonts w:ascii="Georgia" w:hAnsi="Georgia"/>
          <w:sz w:val="24"/>
          <w:szCs w:val="24"/>
        </w:rPr>
        <w:t>using diatoms, hypo</w:t>
      </w:r>
      <w:r w:rsidR="00443EB2">
        <w:rPr>
          <w:rFonts w:ascii="Georgia" w:hAnsi="Georgia"/>
          <w:sz w:val="24"/>
          <w:szCs w:val="24"/>
        </w:rPr>
        <w:t>limnetic oxygen concentrations can</w:t>
      </w:r>
      <w:r w:rsidR="008667D9">
        <w:rPr>
          <w:rFonts w:ascii="Georgia" w:hAnsi="Georgia"/>
          <w:sz w:val="24"/>
          <w:szCs w:val="24"/>
        </w:rPr>
        <w:t xml:space="preserve"> be reconstructed using chironomid head capsules, and</w:t>
      </w:r>
      <w:r>
        <w:rPr>
          <w:rFonts w:ascii="Georgia" w:hAnsi="Georgia"/>
          <w:sz w:val="24"/>
          <w:szCs w:val="24"/>
        </w:rPr>
        <w:t xml:space="preserve"> </w:t>
      </w:r>
      <w:r w:rsidR="008667D9">
        <w:rPr>
          <w:rFonts w:ascii="Georgia" w:hAnsi="Georgia"/>
          <w:sz w:val="24"/>
          <w:szCs w:val="24"/>
        </w:rPr>
        <w:t>cyanobacteria</w:t>
      </w:r>
      <w:r>
        <w:rPr>
          <w:rFonts w:ascii="Georgia" w:hAnsi="Georgia"/>
          <w:sz w:val="24"/>
          <w:szCs w:val="24"/>
        </w:rPr>
        <w:t xml:space="preserve"> </w:t>
      </w:r>
      <w:r w:rsidR="008667D9">
        <w:rPr>
          <w:rFonts w:ascii="Georgia" w:hAnsi="Georgia"/>
          <w:sz w:val="24"/>
          <w:szCs w:val="24"/>
        </w:rPr>
        <w:t>(blue-green algae)</w:t>
      </w:r>
      <w:r w:rsidR="00092AB2">
        <w:rPr>
          <w:rFonts w:ascii="Georgia" w:hAnsi="Georgia"/>
          <w:sz w:val="24"/>
          <w:szCs w:val="24"/>
        </w:rPr>
        <w:t xml:space="preserve"> communities</w:t>
      </w:r>
      <w:r>
        <w:rPr>
          <w:rFonts w:ascii="Georgia" w:hAnsi="Georgia"/>
          <w:sz w:val="24"/>
          <w:szCs w:val="24"/>
        </w:rPr>
        <w:t xml:space="preserve"> </w:t>
      </w:r>
      <w:r w:rsidR="00443EB2">
        <w:rPr>
          <w:rFonts w:ascii="Georgia" w:hAnsi="Georgia"/>
          <w:sz w:val="24"/>
          <w:szCs w:val="24"/>
        </w:rPr>
        <w:t>can</w:t>
      </w:r>
      <w:r w:rsidR="008667D9">
        <w:rPr>
          <w:rFonts w:ascii="Georgia" w:hAnsi="Georgia"/>
          <w:sz w:val="24"/>
          <w:szCs w:val="24"/>
        </w:rPr>
        <w:t xml:space="preserve"> be </w:t>
      </w:r>
      <w:r>
        <w:rPr>
          <w:rFonts w:ascii="Georgia" w:hAnsi="Georgia"/>
          <w:sz w:val="24"/>
          <w:szCs w:val="24"/>
        </w:rPr>
        <w:t>r</w:t>
      </w:r>
      <w:r w:rsidR="008667D9">
        <w:rPr>
          <w:rFonts w:ascii="Georgia" w:hAnsi="Georgia"/>
          <w:sz w:val="24"/>
          <w:szCs w:val="24"/>
        </w:rPr>
        <w:t xml:space="preserve">econstructed with the use of fossilized pigments </w:t>
      </w:r>
      <w:r w:rsidR="00092AB2">
        <w:rPr>
          <w:rFonts w:ascii="Georgia" w:hAnsi="Georgia"/>
          <w:sz w:val="24"/>
          <w:szCs w:val="24"/>
        </w:rPr>
        <w:t>(Williamson et al 2016) (</w:t>
      </w:r>
      <w:proofErr w:type="spellStart"/>
      <w:r w:rsidR="00092AB2">
        <w:rPr>
          <w:rFonts w:ascii="Georgia" w:hAnsi="Georgia"/>
          <w:sz w:val="24"/>
          <w:szCs w:val="24"/>
        </w:rPr>
        <w:t>Juckem</w:t>
      </w:r>
      <w:proofErr w:type="spellEnd"/>
      <w:r w:rsidR="00092AB2">
        <w:rPr>
          <w:rFonts w:ascii="Georgia" w:hAnsi="Georgia"/>
          <w:sz w:val="24"/>
          <w:szCs w:val="24"/>
        </w:rPr>
        <w:t xml:space="preserve"> and Robertson 2013)</w:t>
      </w:r>
      <w:r w:rsidR="008667D9">
        <w:rPr>
          <w:rFonts w:ascii="Georgia" w:hAnsi="Georgia"/>
          <w:sz w:val="24"/>
          <w:szCs w:val="24"/>
        </w:rPr>
        <w:t>.</w:t>
      </w:r>
      <w:r w:rsidR="00443EB2">
        <w:rPr>
          <w:rFonts w:ascii="Georgia" w:hAnsi="Georgia"/>
          <w:sz w:val="24"/>
          <w:szCs w:val="24"/>
        </w:rPr>
        <w:t xml:space="preserve">  The timing and magnitude of change is unknown and should be understudy before consideration of sediment amendments such as alum or other drastic management techniques are used.</w:t>
      </w:r>
    </w:p>
    <w:p w:rsidR="00443EB2" w:rsidRDefault="00443EB2" w:rsidP="00364558">
      <w:pPr>
        <w:rPr>
          <w:rFonts w:ascii="Georgia" w:hAnsi="Georgia"/>
          <w:b/>
          <w:sz w:val="24"/>
          <w:szCs w:val="24"/>
        </w:rPr>
      </w:pPr>
    </w:p>
    <w:p w:rsidR="00443EB2" w:rsidRDefault="00443EB2" w:rsidP="00364558">
      <w:pPr>
        <w:rPr>
          <w:rFonts w:ascii="Georgia" w:hAnsi="Georgia"/>
          <w:b/>
          <w:sz w:val="24"/>
          <w:szCs w:val="24"/>
        </w:rPr>
      </w:pPr>
    </w:p>
    <w:p w:rsidR="00443EB2" w:rsidRDefault="00443EB2" w:rsidP="00364558">
      <w:pPr>
        <w:rPr>
          <w:rFonts w:ascii="Georgia" w:hAnsi="Georgia"/>
          <w:b/>
          <w:sz w:val="24"/>
          <w:szCs w:val="24"/>
        </w:rPr>
      </w:pPr>
    </w:p>
    <w:p w:rsidR="00443EB2" w:rsidRDefault="00443EB2" w:rsidP="00364558">
      <w:pPr>
        <w:rPr>
          <w:rFonts w:ascii="Georgia" w:hAnsi="Georgia"/>
          <w:b/>
          <w:sz w:val="24"/>
          <w:szCs w:val="24"/>
        </w:rPr>
      </w:pPr>
    </w:p>
    <w:p w:rsidR="00443EB2" w:rsidRDefault="00443EB2" w:rsidP="00364558">
      <w:pPr>
        <w:rPr>
          <w:rFonts w:ascii="Georgia" w:hAnsi="Georgia"/>
          <w:b/>
          <w:sz w:val="24"/>
          <w:szCs w:val="24"/>
        </w:rPr>
      </w:pPr>
    </w:p>
    <w:p w:rsidR="00443EB2" w:rsidRDefault="00443EB2" w:rsidP="00364558">
      <w:pPr>
        <w:rPr>
          <w:rFonts w:ascii="Georgia" w:hAnsi="Georgia"/>
          <w:b/>
          <w:sz w:val="24"/>
          <w:szCs w:val="24"/>
        </w:rPr>
      </w:pPr>
    </w:p>
    <w:p w:rsidR="00443EB2" w:rsidRDefault="00443EB2" w:rsidP="00364558">
      <w:pPr>
        <w:rPr>
          <w:rFonts w:ascii="Georgia" w:hAnsi="Georgia"/>
          <w:b/>
          <w:sz w:val="24"/>
          <w:szCs w:val="24"/>
        </w:rPr>
      </w:pPr>
    </w:p>
    <w:p w:rsidR="00443EB2" w:rsidRDefault="00443EB2" w:rsidP="00364558">
      <w:pPr>
        <w:rPr>
          <w:rFonts w:ascii="Georgia" w:hAnsi="Georgia"/>
          <w:b/>
          <w:sz w:val="24"/>
          <w:szCs w:val="24"/>
        </w:rPr>
      </w:pPr>
    </w:p>
    <w:p w:rsidR="00443EB2" w:rsidRDefault="00443EB2" w:rsidP="00364558">
      <w:pPr>
        <w:rPr>
          <w:rFonts w:ascii="Georgia" w:hAnsi="Georgia"/>
          <w:b/>
          <w:sz w:val="24"/>
          <w:szCs w:val="24"/>
        </w:rPr>
      </w:pPr>
    </w:p>
    <w:p w:rsidR="00443EB2" w:rsidRDefault="00443EB2" w:rsidP="00364558">
      <w:pPr>
        <w:rPr>
          <w:rFonts w:ascii="Georgia" w:hAnsi="Georgia"/>
          <w:b/>
          <w:sz w:val="24"/>
          <w:szCs w:val="24"/>
        </w:rPr>
      </w:pPr>
    </w:p>
    <w:p w:rsidR="00443EB2" w:rsidRDefault="00443EB2" w:rsidP="00364558">
      <w:pPr>
        <w:rPr>
          <w:rFonts w:ascii="Georgia" w:hAnsi="Georgia"/>
          <w:b/>
          <w:sz w:val="24"/>
          <w:szCs w:val="24"/>
        </w:rPr>
      </w:pPr>
    </w:p>
    <w:p w:rsidR="00443EB2" w:rsidRDefault="00443EB2" w:rsidP="00364558">
      <w:pPr>
        <w:rPr>
          <w:rFonts w:ascii="Georgia" w:hAnsi="Georgia"/>
          <w:b/>
          <w:sz w:val="24"/>
          <w:szCs w:val="24"/>
        </w:rPr>
      </w:pPr>
    </w:p>
    <w:p w:rsidR="00443EB2" w:rsidRDefault="00443EB2" w:rsidP="00364558">
      <w:pPr>
        <w:rPr>
          <w:rFonts w:ascii="Georgia" w:hAnsi="Georgia"/>
          <w:b/>
          <w:sz w:val="24"/>
          <w:szCs w:val="24"/>
        </w:rPr>
      </w:pPr>
    </w:p>
    <w:p w:rsidR="00443EB2" w:rsidRDefault="00443EB2" w:rsidP="00364558">
      <w:pPr>
        <w:rPr>
          <w:rFonts w:ascii="Georgia" w:hAnsi="Georgia"/>
          <w:b/>
          <w:sz w:val="24"/>
          <w:szCs w:val="24"/>
        </w:rPr>
      </w:pPr>
    </w:p>
    <w:p w:rsidR="00443EB2" w:rsidRDefault="00443EB2" w:rsidP="00364558">
      <w:pPr>
        <w:rPr>
          <w:rFonts w:ascii="Georgia" w:hAnsi="Georgia"/>
          <w:b/>
          <w:sz w:val="24"/>
          <w:szCs w:val="24"/>
        </w:rPr>
      </w:pPr>
    </w:p>
    <w:p w:rsidR="00443EB2" w:rsidRDefault="00443EB2" w:rsidP="00364558">
      <w:pPr>
        <w:rPr>
          <w:rFonts w:ascii="Georgia" w:hAnsi="Georgia"/>
          <w:b/>
          <w:sz w:val="24"/>
          <w:szCs w:val="24"/>
        </w:rPr>
      </w:pPr>
    </w:p>
    <w:p w:rsidR="00443EB2" w:rsidRDefault="00443EB2" w:rsidP="00364558">
      <w:pPr>
        <w:rPr>
          <w:rFonts w:ascii="Georgia" w:hAnsi="Georgia"/>
          <w:b/>
          <w:sz w:val="24"/>
          <w:szCs w:val="24"/>
        </w:rPr>
      </w:pPr>
    </w:p>
    <w:p w:rsidR="00E61703" w:rsidRDefault="00E61703" w:rsidP="00364558">
      <w:pPr>
        <w:rPr>
          <w:rFonts w:ascii="Georgia" w:hAnsi="Georgia"/>
          <w:b/>
          <w:sz w:val="24"/>
          <w:szCs w:val="24"/>
        </w:rPr>
      </w:pPr>
      <w:r w:rsidRPr="00266EFB">
        <w:rPr>
          <w:rFonts w:ascii="Georgia" w:hAnsi="Georgia"/>
          <w:b/>
          <w:sz w:val="24"/>
          <w:szCs w:val="24"/>
        </w:rPr>
        <w:lastRenderedPageBreak/>
        <w:t>References</w:t>
      </w:r>
    </w:p>
    <w:p w:rsidR="00266EFB" w:rsidRPr="007D0B9F" w:rsidRDefault="00266EFB" w:rsidP="00266EFB">
      <w:pPr>
        <w:pStyle w:val="Bibliography"/>
        <w:ind w:left="720" w:hanging="720"/>
        <w:rPr>
          <w:rFonts w:ascii="Georgia" w:hAnsi="Georgia"/>
          <w:noProof/>
        </w:rPr>
      </w:pPr>
      <w:r w:rsidRPr="007D0B9F">
        <w:rPr>
          <w:rFonts w:ascii="Georgia" w:hAnsi="Georgia" w:cs="Arial"/>
          <w:szCs w:val="24"/>
        </w:rPr>
        <w:t>Engstrom, D. R. &amp; Wright, H. E. (1984): Chemical stratigraphy of lake sediments as a record of environmental change. – In: Haworth, E. Y. &amp; Lund J. W. G. (eds): Lake Sediments and Environmental History. – Leicester University Press, Leicester, pp. 11–68</w:t>
      </w:r>
    </w:p>
    <w:p w:rsidR="007D0B9F" w:rsidRDefault="007D0B9F" w:rsidP="007D0B9F">
      <w:pPr>
        <w:pStyle w:val="Bibliography"/>
        <w:ind w:left="720" w:hanging="720"/>
        <w:rPr>
          <w:rFonts w:ascii="Georgia" w:hAnsi="Georgia"/>
          <w:noProof/>
        </w:rPr>
      </w:pPr>
      <w:r w:rsidRPr="007D0B9F">
        <w:rPr>
          <w:rFonts w:ascii="Georgia" w:hAnsi="Georgia"/>
          <w:noProof/>
        </w:rPr>
        <w:t xml:space="preserve">Gonsiorczyk, T., Casper, P., and Koschel, R. (1998). Phosphorus-Binding Forms in the Sediment of an Oligotrophic and an Eutrophic Hardwater Lake of the Baltic Lake District (Germany). </w:t>
      </w:r>
      <w:r w:rsidRPr="007D0B9F">
        <w:rPr>
          <w:rFonts w:ascii="Georgia" w:hAnsi="Georgia"/>
          <w:i/>
          <w:iCs/>
          <w:noProof/>
        </w:rPr>
        <w:t>Wat. Sci. Tech., 37</w:t>
      </w:r>
      <w:r w:rsidRPr="007D0B9F">
        <w:rPr>
          <w:rFonts w:ascii="Georgia" w:hAnsi="Georgia"/>
          <w:noProof/>
        </w:rPr>
        <w:t>(3), 51-58.</w:t>
      </w:r>
    </w:p>
    <w:p w:rsidR="00821336" w:rsidRPr="00821336" w:rsidRDefault="00821336" w:rsidP="00821336">
      <w:proofErr w:type="spellStart"/>
      <w:r w:rsidRPr="00821336">
        <w:rPr>
          <w:rFonts w:ascii="Georgia" w:hAnsi="Georgia"/>
          <w:sz w:val="24"/>
          <w:szCs w:val="24"/>
        </w:rPr>
        <w:t>Juckem</w:t>
      </w:r>
      <w:proofErr w:type="spellEnd"/>
      <w:r w:rsidRPr="00821336">
        <w:rPr>
          <w:rFonts w:ascii="Georgia" w:hAnsi="Georgia"/>
          <w:sz w:val="24"/>
          <w:szCs w:val="24"/>
        </w:rPr>
        <w:t>, P. J., and Robertson, D.M.  2013 Hydrology and water quality of Shell Lake,</w:t>
      </w:r>
      <w:r>
        <w:rPr>
          <w:rFonts w:ascii="Georgia" w:hAnsi="Georgia"/>
          <w:sz w:val="24"/>
          <w:szCs w:val="24"/>
        </w:rPr>
        <w:br/>
        <w:t xml:space="preserve">             </w:t>
      </w:r>
      <w:r w:rsidRPr="00821336">
        <w:rPr>
          <w:rFonts w:ascii="Georgia" w:hAnsi="Georgia"/>
          <w:sz w:val="24"/>
          <w:szCs w:val="24"/>
        </w:rPr>
        <w:t xml:space="preserve">Washburn County, Wisconsin, with special emphasis on the effects of diversion </w:t>
      </w:r>
      <w:r>
        <w:rPr>
          <w:rFonts w:ascii="Georgia" w:hAnsi="Georgia"/>
          <w:sz w:val="24"/>
          <w:szCs w:val="24"/>
        </w:rPr>
        <w:br/>
      </w:r>
      <w:r>
        <w:rPr>
          <w:rFonts w:ascii="Georgia" w:hAnsi="Georgia"/>
          <w:sz w:val="24"/>
          <w:szCs w:val="24"/>
        </w:rPr>
        <w:tab/>
      </w:r>
      <w:r w:rsidRPr="00821336">
        <w:rPr>
          <w:rFonts w:ascii="Georgia" w:hAnsi="Georgia"/>
          <w:sz w:val="24"/>
          <w:szCs w:val="24"/>
        </w:rPr>
        <w:t xml:space="preserve">and changes in water level on the water quality of a shallow terminal lake:  U. S. </w:t>
      </w:r>
      <w:r>
        <w:rPr>
          <w:rFonts w:ascii="Georgia" w:hAnsi="Georgia"/>
          <w:sz w:val="24"/>
          <w:szCs w:val="24"/>
        </w:rPr>
        <w:br/>
      </w:r>
      <w:r>
        <w:rPr>
          <w:rFonts w:ascii="Georgia" w:hAnsi="Georgia"/>
          <w:sz w:val="24"/>
          <w:szCs w:val="24"/>
        </w:rPr>
        <w:tab/>
      </w:r>
      <w:r w:rsidRPr="00821336">
        <w:rPr>
          <w:rFonts w:ascii="Georgia" w:hAnsi="Georgia"/>
          <w:sz w:val="24"/>
          <w:szCs w:val="24"/>
        </w:rPr>
        <w:t>Geological Survey Scientific Investigation Report 2013-5181, 77 p., 2 app.,</w:t>
      </w:r>
      <w:r>
        <w:t xml:space="preserve"> </w:t>
      </w:r>
      <w:r>
        <w:br/>
      </w:r>
      <w:r>
        <w:tab/>
      </w:r>
      <w:hyperlink r:id="rId16" w:history="1">
        <w:r w:rsidRPr="00821336">
          <w:rPr>
            <w:rStyle w:val="Hyperlink"/>
            <w:rFonts w:cs="Univers 47 Condensed Light"/>
            <w:i/>
            <w:iCs/>
            <w:sz w:val="24"/>
            <w:szCs w:val="24"/>
          </w:rPr>
          <w:t>http://dx.doi.org/10.3133/sir20135181</w:t>
        </w:r>
      </w:hyperlink>
      <w:r w:rsidRPr="00821336">
        <w:rPr>
          <w:rFonts w:cs="Univers 47 Condensed Light"/>
          <w:color w:val="221E1F"/>
          <w:sz w:val="24"/>
          <w:szCs w:val="24"/>
        </w:rPr>
        <w:t xml:space="preserve">. </w:t>
      </w:r>
    </w:p>
    <w:p w:rsidR="007D0B9F" w:rsidRPr="007D0B9F" w:rsidRDefault="007D0B9F" w:rsidP="007D0B9F">
      <w:pPr>
        <w:pStyle w:val="Bibliography"/>
        <w:ind w:left="720" w:hanging="720"/>
        <w:rPr>
          <w:rFonts w:ascii="Georgia" w:hAnsi="Georgia"/>
          <w:noProof/>
        </w:rPr>
      </w:pPr>
      <w:r w:rsidRPr="007D0B9F">
        <w:rPr>
          <w:rFonts w:ascii="Georgia" w:hAnsi="Georgia"/>
          <w:noProof/>
        </w:rPr>
        <w:t xml:space="preserve">Kaiserli, A., Voutsa, D., and Samara, C. (2002). Phosphorus Fractionation in Lake Sediments--Lakes Vovi and Koronia, N. Greece. </w:t>
      </w:r>
      <w:r w:rsidRPr="007D0B9F">
        <w:rPr>
          <w:rFonts w:ascii="Georgia" w:hAnsi="Georgia"/>
          <w:i/>
          <w:iCs/>
          <w:noProof/>
        </w:rPr>
        <w:t>Chemosphere, 46</w:t>
      </w:r>
      <w:r w:rsidRPr="007D0B9F">
        <w:rPr>
          <w:rFonts w:ascii="Georgia" w:hAnsi="Georgia"/>
          <w:noProof/>
        </w:rPr>
        <w:t>, 1147-1155.</w:t>
      </w:r>
    </w:p>
    <w:p w:rsidR="00610193" w:rsidRPr="00610193" w:rsidRDefault="007D0B9F" w:rsidP="00610193">
      <w:pPr>
        <w:rPr>
          <w:rFonts w:ascii="Georgia" w:hAnsi="Georgia"/>
          <w:sz w:val="24"/>
          <w:szCs w:val="24"/>
        </w:rPr>
      </w:pPr>
      <w:r w:rsidRPr="007D0B9F">
        <w:rPr>
          <w:rFonts w:ascii="Georgia" w:hAnsi="Georgia"/>
          <w:sz w:val="24"/>
          <w:szCs w:val="24"/>
        </w:rPr>
        <w:t>Nürnberg, G. K., Tarvainen, M., Ventela, A., and Sarvala, J. (2012). Internal phosphorus</w:t>
      </w:r>
      <w:r w:rsidR="00610193">
        <w:rPr>
          <w:rFonts w:ascii="Georgia" w:hAnsi="Georgia"/>
          <w:sz w:val="24"/>
          <w:szCs w:val="24"/>
        </w:rPr>
        <w:br/>
        <w:t xml:space="preserve">         </w:t>
      </w:r>
      <w:r w:rsidRPr="007D0B9F">
        <w:rPr>
          <w:rFonts w:ascii="Georgia" w:hAnsi="Georgia"/>
          <w:sz w:val="24"/>
          <w:szCs w:val="24"/>
        </w:rPr>
        <w:t xml:space="preserve"> </w:t>
      </w:r>
      <w:r w:rsidR="00610193" w:rsidRPr="007D0B9F">
        <w:rPr>
          <w:rFonts w:ascii="Georgia" w:hAnsi="Georgia"/>
          <w:sz w:val="24"/>
          <w:szCs w:val="24"/>
        </w:rPr>
        <w:t>load estimation during biomanipulation in a large polymictic and mesotrophic</w:t>
      </w:r>
      <w:r w:rsidR="00610193">
        <w:rPr>
          <w:rFonts w:ascii="Georgia" w:hAnsi="Georgia"/>
          <w:sz w:val="24"/>
          <w:szCs w:val="24"/>
        </w:rPr>
        <w:br/>
        <w:t xml:space="preserve">        </w:t>
      </w:r>
      <w:r w:rsidR="00610193" w:rsidRPr="007D0B9F">
        <w:rPr>
          <w:rFonts w:ascii="Georgia" w:hAnsi="Georgia"/>
          <w:sz w:val="24"/>
          <w:szCs w:val="24"/>
        </w:rPr>
        <w:t xml:space="preserve"> </w:t>
      </w:r>
      <w:r w:rsidR="00610193">
        <w:rPr>
          <w:rFonts w:ascii="Georgia" w:hAnsi="Georgia"/>
          <w:sz w:val="24"/>
          <w:szCs w:val="24"/>
        </w:rPr>
        <w:t xml:space="preserve"> </w:t>
      </w:r>
      <w:r w:rsidR="00610193" w:rsidRPr="007D0B9F">
        <w:rPr>
          <w:rFonts w:ascii="Georgia" w:hAnsi="Georgia"/>
          <w:sz w:val="24"/>
          <w:szCs w:val="24"/>
        </w:rPr>
        <w:t>lake.  Inland Waters, 2, 147-162</w:t>
      </w:r>
    </w:p>
    <w:p w:rsidR="007D0B9F" w:rsidRPr="007D0B9F" w:rsidRDefault="007D0B9F" w:rsidP="007D0B9F">
      <w:pPr>
        <w:pStyle w:val="Bibliography"/>
        <w:ind w:left="720" w:hanging="720"/>
        <w:rPr>
          <w:rFonts w:ascii="Georgia" w:hAnsi="Georgia"/>
          <w:noProof/>
        </w:rPr>
      </w:pPr>
      <w:r w:rsidRPr="007D0B9F">
        <w:rPr>
          <w:rFonts w:ascii="Georgia" w:hAnsi="Georgia"/>
          <w:noProof/>
        </w:rPr>
        <w:t>S</w:t>
      </w:r>
      <w:r w:rsidR="00610193">
        <w:rPr>
          <w:rFonts w:ascii="Georgia" w:hAnsi="Georgia"/>
          <w:noProof/>
        </w:rPr>
        <w:t>ø</w:t>
      </w:r>
      <w:r w:rsidRPr="007D0B9F">
        <w:rPr>
          <w:rFonts w:ascii="Georgia" w:hAnsi="Georgia"/>
          <w:noProof/>
        </w:rPr>
        <w:t xml:space="preserve">ndergaard, M., Jensen, J.P., Jeppesen, E. (2001). Retention and internal loading of phosphorus in Shallow, Eutrophic Lakes. </w:t>
      </w:r>
      <w:r w:rsidRPr="007D0B9F">
        <w:rPr>
          <w:rFonts w:ascii="Georgia" w:hAnsi="Georgia"/>
          <w:i/>
          <w:iCs/>
          <w:noProof/>
        </w:rPr>
        <w:t>The Scientific World, 1</w:t>
      </w:r>
      <w:r w:rsidRPr="007D0B9F">
        <w:rPr>
          <w:rFonts w:ascii="Georgia" w:hAnsi="Georgia"/>
          <w:noProof/>
        </w:rPr>
        <w:t>, 427-442.</w:t>
      </w:r>
    </w:p>
    <w:p w:rsidR="00266EFB" w:rsidRPr="007D0B9F" w:rsidRDefault="00266EFB" w:rsidP="007D0B9F">
      <w:pPr>
        <w:pStyle w:val="Bibliography"/>
        <w:rPr>
          <w:rFonts w:ascii="Georgia" w:hAnsi="Georgia"/>
          <w:noProof/>
        </w:rPr>
      </w:pPr>
      <w:r w:rsidRPr="007D0B9F">
        <w:rPr>
          <w:rFonts w:ascii="Georgia" w:hAnsi="Georgia"/>
          <w:noProof/>
        </w:rPr>
        <w:t xml:space="preserve">Scheffer, M. (1998). </w:t>
      </w:r>
      <w:r w:rsidRPr="007D0B9F">
        <w:rPr>
          <w:rFonts w:ascii="Georgia" w:hAnsi="Georgia"/>
          <w:i/>
          <w:iCs/>
          <w:noProof/>
        </w:rPr>
        <w:t>Ecology of Shallow Lakes.</w:t>
      </w:r>
      <w:r w:rsidRPr="007D0B9F">
        <w:rPr>
          <w:rFonts w:ascii="Georgia" w:hAnsi="Georgia"/>
          <w:noProof/>
        </w:rPr>
        <w:t xml:space="preserve"> London: Chapman &amp; Hall.</w:t>
      </w:r>
    </w:p>
    <w:p w:rsidR="007D0B9F" w:rsidRPr="007D0B9F" w:rsidRDefault="007D0B9F" w:rsidP="007D0B9F">
      <w:pPr>
        <w:pStyle w:val="Bibliography"/>
        <w:ind w:left="720" w:hanging="720"/>
        <w:rPr>
          <w:rFonts w:ascii="Georgia" w:hAnsi="Georgia"/>
          <w:noProof/>
        </w:rPr>
      </w:pPr>
      <w:r w:rsidRPr="007D0B9F">
        <w:rPr>
          <w:rFonts w:ascii="Georgia" w:hAnsi="Georgia"/>
          <w:noProof/>
        </w:rPr>
        <w:t xml:space="preserve">Wetzel, R. G. (2001). </w:t>
      </w:r>
      <w:r w:rsidRPr="007D0B9F">
        <w:rPr>
          <w:rFonts w:ascii="Georgia" w:hAnsi="Georgia"/>
          <w:i/>
          <w:iCs/>
          <w:noProof/>
        </w:rPr>
        <w:t>Limnology Lake and River Ecosystems Third Edition.</w:t>
      </w:r>
      <w:r w:rsidRPr="007D0B9F">
        <w:rPr>
          <w:rFonts w:ascii="Georgia" w:hAnsi="Georgia"/>
          <w:noProof/>
        </w:rPr>
        <w:t xml:space="preserve"> San Diego, California: Academic Press.</w:t>
      </w:r>
    </w:p>
    <w:p w:rsidR="00821336" w:rsidRPr="00D82CC4" w:rsidRDefault="00821336" w:rsidP="00821336">
      <w:pPr>
        <w:pStyle w:val="nrpsNormal"/>
        <w:rPr>
          <w:rFonts w:ascii="Georgia" w:hAnsi="Georgia"/>
          <w:szCs w:val="24"/>
        </w:rPr>
      </w:pPr>
      <w:r w:rsidRPr="00D82CC4">
        <w:rPr>
          <w:rFonts w:ascii="Georgia" w:hAnsi="Georgia"/>
          <w:szCs w:val="24"/>
        </w:rPr>
        <w:t xml:space="preserve">Williamson, J.,  Edlund, M. B., and </w:t>
      </w:r>
      <w:proofErr w:type="spellStart"/>
      <w:r w:rsidRPr="00D82CC4">
        <w:rPr>
          <w:rFonts w:ascii="Georgia" w:hAnsi="Georgia"/>
          <w:szCs w:val="24"/>
        </w:rPr>
        <w:t>Ramstack</w:t>
      </w:r>
      <w:proofErr w:type="spellEnd"/>
      <w:r w:rsidRPr="00D82CC4">
        <w:rPr>
          <w:rFonts w:ascii="Georgia" w:hAnsi="Georgia"/>
          <w:szCs w:val="24"/>
        </w:rPr>
        <w:t xml:space="preserve"> Hobbs, J., and Burge, D. R. L.  2016. A </w:t>
      </w:r>
      <w:r w:rsidR="00D82CC4">
        <w:rPr>
          <w:rFonts w:ascii="Georgia" w:hAnsi="Georgia"/>
          <w:szCs w:val="24"/>
        </w:rPr>
        <w:br/>
      </w:r>
      <w:r w:rsidR="00D82CC4">
        <w:rPr>
          <w:rFonts w:ascii="Georgia" w:hAnsi="Georgia"/>
          <w:szCs w:val="24"/>
        </w:rPr>
        <w:tab/>
      </w:r>
      <w:proofErr w:type="spellStart"/>
      <w:r w:rsidRPr="00D82CC4">
        <w:rPr>
          <w:rFonts w:ascii="Georgia" w:hAnsi="Georgia"/>
          <w:szCs w:val="24"/>
        </w:rPr>
        <w:t>Paleolimnological</w:t>
      </w:r>
      <w:proofErr w:type="spellEnd"/>
      <w:r w:rsidRPr="00D82CC4">
        <w:rPr>
          <w:rFonts w:ascii="Georgia" w:hAnsi="Georgia"/>
          <w:szCs w:val="24"/>
        </w:rPr>
        <w:t xml:space="preserve"> Study of Big Blake Lake, Polk County, Wisconsin.  Final Report </w:t>
      </w:r>
      <w:r w:rsidR="00D82CC4">
        <w:rPr>
          <w:rFonts w:ascii="Georgia" w:hAnsi="Georgia"/>
          <w:szCs w:val="24"/>
        </w:rPr>
        <w:br/>
      </w:r>
      <w:r w:rsidR="00D82CC4">
        <w:rPr>
          <w:rFonts w:ascii="Georgia" w:hAnsi="Georgia"/>
          <w:szCs w:val="24"/>
        </w:rPr>
        <w:tab/>
      </w:r>
      <w:r w:rsidRPr="00D82CC4">
        <w:rPr>
          <w:rFonts w:ascii="Georgia" w:hAnsi="Georgia"/>
          <w:szCs w:val="24"/>
        </w:rPr>
        <w:t xml:space="preserve">to Big Blake Lake </w:t>
      </w:r>
      <w:proofErr w:type="spellStart"/>
      <w:r w:rsidRPr="00D82CC4">
        <w:rPr>
          <w:rFonts w:ascii="Georgia" w:hAnsi="Georgia"/>
          <w:szCs w:val="24"/>
        </w:rPr>
        <w:t>Protectionand</w:t>
      </w:r>
      <w:proofErr w:type="spellEnd"/>
      <w:r w:rsidRPr="00D82CC4">
        <w:rPr>
          <w:rFonts w:ascii="Georgia" w:hAnsi="Georgia"/>
          <w:szCs w:val="24"/>
        </w:rPr>
        <w:t xml:space="preserve"> Rehabilitation  District.  </w:t>
      </w:r>
      <w:r w:rsidR="00D82CC4">
        <w:rPr>
          <w:rFonts w:ascii="Georgia" w:hAnsi="Georgia"/>
          <w:szCs w:val="24"/>
        </w:rPr>
        <w:t xml:space="preserve">Polk County Land and </w:t>
      </w:r>
      <w:r w:rsidR="00D82CC4">
        <w:rPr>
          <w:rFonts w:ascii="Georgia" w:hAnsi="Georgia"/>
          <w:szCs w:val="24"/>
        </w:rPr>
        <w:br/>
      </w:r>
      <w:r w:rsidR="00D82CC4">
        <w:rPr>
          <w:rFonts w:ascii="Georgia" w:hAnsi="Georgia"/>
          <w:szCs w:val="24"/>
        </w:rPr>
        <w:tab/>
        <w:t xml:space="preserve">Water </w:t>
      </w:r>
      <w:r w:rsidRPr="00D82CC4">
        <w:rPr>
          <w:rFonts w:ascii="Georgia" w:hAnsi="Georgia"/>
          <w:szCs w:val="24"/>
        </w:rPr>
        <w:t>Resources Department, Balsam Lake, WI.</w:t>
      </w:r>
    </w:p>
    <w:p w:rsidR="00266EFB" w:rsidRPr="00266EFB" w:rsidRDefault="00266EFB" w:rsidP="00364558">
      <w:pPr>
        <w:rPr>
          <w:rFonts w:ascii="Georgia" w:hAnsi="Georgia"/>
          <w:b/>
          <w:sz w:val="24"/>
          <w:szCs w:val="24"/>
        </w:rPr>
      </w:pPr>
    </w:p>
    <w:p w:rsidR="00364558" w:rsidRDefault="00364558" w:rsidP="00364558">
      <w:pPr>
        <w:rPr>
          <w:rFonts w:ascii="Georgia" w:hAnsi="Georgia"/>
          <w:sz w:val="24"/>
          <w:szCs w:val="24"/>
        </w:rPr>
      </w:pPr>
    </w:p>
    <w:p w:rsidR="00A0379B" w:rsidRPr="00C66595" w:rsidRDefault="00A0379B" w:rsidP="00C66595">
      <w:pPr>
        <w:tabs>
          <w:tab w:val="left" w:pos="2295"/>
        </w:tabs>
        <w:rPr>
          <w:rFonts w:ascii="Georgia" w:hAnsi="Georgia"/>
          <w:sz w:val="24"/>
          <w:szCs w:val="24"/>
        </w:rPr>
      </w:pPr>
    </w:p>
    <w:sectPr w:rsidR="00A0379B" w:rsidRPr="00C66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47 Condensed Light">
    <w:altName w:val="Univers 47 Condensed Light"/>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EB"/>
    <w:rsid w:val="00092AB2"/>
    <w:rsid w:val="001644EB"/>
    <w:rsid w:val="001B7CA7"/>
    <w:rsid w:val="001F3782"/>
    <w:rsid w:val="00207013"/>
    <w:rsid w:val="00225BFF"/>
    <w:rsid w:val="00266EFB"/>
    <w:rsid w:val="00364558"/>
    <w:rsid w:val="00443EB2"/>
    <w:rsid w:val="00610193"/>
    <w:rsid w:val="00636413"/>
    <w:rsid w:val="00641008"/>
    <w:rsid w:val="00671A60"/>
    <w:rsid w:val="00723D60"/>
    <w:rsid w:val="007432EA"/>
    <w:rsid w:val="007D0B9F"/>
    <w:rsid w:val="00821336"/>
    <w:rsid w:val="008667D9"/>
    <w:rsid w:val="00A0379B"/>
    <w:rsid w:val="00C66595"/>
    <w:rsid w:val="00C80F8D"/>
    <w:rsid w:val="00CA0810"/>
    <w:rsid w:val="00CE7D2A"/>
    <w:rsid w:val="00D80460"/>
    <w:rsid w:val="00D82CC4"/>
    <w:rsid w:val="00E07DE5"/>
    <w:rsid w:val="00E6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EB"/>
  </w:style>
  <w:style w:type="paragraph" w:styleId="Heading1">
    <w:name w:val="heading 1"/>
    <w:basedOn w:val="Normal"/>
    <w:next w:val="Normal"/>
    <w:link w:val="Heading1Char"/>
    <w:uiPriority w:val="9"/>
    <w:qFormat/>
    <w:rsid w:val="001644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4E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64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EB"/>
    <w:rPr>
      <w:rFonts w:ascii="Tahoma" w:hAnsi="Tahoma" w:cs="Tahoma"/>
      <w:sz w:val="16"/>
      <w:szCs w:val="16"/>
    </w:rPr>
  </w:style>
  <w:style w:type="character" w:styleId="PlaceholderText">
    <w:name w:val="Placeholder Text"/>
    <w:basedOn w:val="DefaultParagraphFont"/>
    <w:uiPriority w:val="99"/>
    <w:semiHidden/>
    <w:rsid w:val="00C66595"/>
    <w:rPr>
      <w:color w:val="808080"/>
    </w:rPr>
  </w:style>
  <w:style w:type="paragraph" w:styleId="Bibliography">
    <w:name w:val="Bibliography"/>
    <w:basedOn w:val="Normal"/>
    <w:next w:val="Normal"/>
    <w:uiPriority w:val="37"/>
    <w:unhideWhenUsed/>
    <w:rsid w:val="00266EFB"/>
    <w:rPr>
      <w:sz w:val="24"/>
    </w:rPr>
  </w:style>
  <w:style w:type="character" w:styleId="Hyperlink">
    <w:name w:val="Hyperlink"/>
    <w:basedOn w:val="DefaultParagraphFont"/>
    <w:uiPriority w:val="99"/>
    <w:unhideWhenUsed/>
    <w:rsid w:val="00821336"/>
    <w:rPr>
      <w:color w:val="0000FF" w:themeColor="hyperlink"/>
      <w:u w:val="single"/>
    </w:rPr>
  </w:style>
  <w:style w:type="paragraph" w:customStyle="1" w:styleId="nrpsNormal">
    <w:name w:val="nrps Normal"/>
    <w:basedOn w:val="Normal"/>
    <w:link w:val="nrpsNormalChar"/>
    <w:qFormat/>
    <w:rsid w:val="00821336"/>
    <w:pPr>
      <w:spacing w:after="240" w:line="240" w:lineRule="auto"/>
    </w:pPr>
    <w:rPr>
      <w:rFonts w:ascii="Times New Roman" w:eastAsia="Times New Roman" w:hAnsi="Times New Roman" w:cs="Times New Roman"/>
      <w:sz w:val="24"/>
      <w:szCs w:val="20"/>
    </w:rPr>
  </w:style>
  <w:style w:type="character" w:customStyle="1" w:styleId="nrpsNormalChar">
    <w:name w:val="nrps Normal Char"/>
    <w:basedOn w:val="DefaultParagraphFont"/>
    <w:link w:val="nrpsNormal"/>
    <w:rsid w:val="00821336"/>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EB"/>
  </w:style>
  <w:style w:type="paragraph" w:styleId="Heading1">
    <w:name w:val="heading 1"/>
    <w:basedOn w:val="Normal"/>
    <w:next w:val="Normal"/>
    <w:link w:val="Heading1Char"/>
    <w:uiPriority w:val="9"/>
    <w:qFormat/>
    <w:rsid w:val="001644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4E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64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EB"/>
    <w:rPr>
      <w:rFonts w:ascii="Tahoma" w:hAnsi="Tahoma" w:cs="Tahoma"/>
      <w:sz w:val="16"/>
      <w:szCs w:val="16"/>
    </w:rPr>
  </w:style>
  <w:style w:type="character" w:styleId="PlaceholderText">
    <w:name w:val="Placeholder Text"/>
    <w:basedOn w:val="DefaultParagraphFont"/>
    <w:uiPriority w:val="99"/>
    <w:semiHidden/>
    <w:rsid w:val="00C66595"/>
    <w:rPr>
      <w:color w:val="808080"/>
    </w:rPr>
  </w:style>
  <w:style w:type="paragraph" w:styleId="Bibliography">
    <w:name w:val="Bibliography"/>
    <w:basedOn w:val="Normal"/>
    <w:next w:val="Normal"/>
    <w:uiPriority w:val="37"/>
    <w:unhideWhenUsed/>
    <w:rsid w:val="00266EFB"/>
    <w:rPr>
      <w:sz w:val="24"/>
    </w:rPr>
  </w:style>
  <w:style w:type="character" w:styleId="Hyperlink">
    <w:name w:val="Hyperlink"/>
    <w:basedOn w:val="DefaultParagraphFont"/>
    <w:uiPriority w:val="99"/>
    <w:unhideWhenUsed/>
    <w:rsid w:val="00821336"/>
    <w:rPr>
      <w:color w:val="0000FF" w:themeColor="hyperlink"/>
      <w:u w:val="single"/>
    </w:rPr>
  </w:style>
  <w:style w:type="paragraph" w:customStyle="1" w:styleId="nrpsNormal">
    <w:name w:val="nrps Normal"/>
    <w:basedOn w:val="Normal"/>
    <w:link w:val="nrpsNormalChar"/>
    <w:qFormat/>
    <w:rsid w:val="00821336"/>
    <w:pPr>
      <w:spacing w:after="240" w:line="240" w:lineRule="auto"/>
    </w:pPr>
    <w:rPr>
      <w:rFonts w:ascii="Times New Roman" w:eastAsia="Times New Roman" w:hAnsi="Times New Roman" w:cs="Times New Roman"/>
      <w:sz w:val="24"/>
      <w:szCs w:val="20"/>
    </w:rPr>
  </w:style>
  <w:style w:type="character" w:customStyle="1" w:styleId="nrpsNormalChar">
    <w:name w:val="nrps Normal Char"/>
    <w:basedOn w:val="DefaultParagraphFont"/>
    <w:link w:val="nrpsNormal"/>
    <w:rsid w:val="0082133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3133/sir20135181"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PCgov\LandWater\DATA\SHARE\Lakes%20Database\Big,%20Round,%20Church%20Pine\2016%20inlake%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Cgov\LandWater\DATA\SHARE\Lakes%20Database\Big,%20Round,%20Church%20Pine\2016%20inlake%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PCgov\LandWater\DATA\SHARE\Lakes%20Database\Big,%20Round,%20Church%20Pine\2016%20inlake%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PCgov\LandWater\DATA\SHARE\Lakes%20Database\Big,%20Round,%20Church%20Pine\2016%20inlake%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PCgov\LandWater\DATA\SHARE\Lakes%20Database\Big,%20Round,%20Church%20Pine\2016%20inlake%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PCgov\LandWater\DATA\SHARE\Lakes%20Database\Big,%20Round,%20Church%20Pine\2016%20inlake%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3"/>
          <c:order val="0"/>
          <c:tx>
            <c:strRef>
              <c:f>'Bottom Big Chemistry'!$E$4</c:f>
              <c:strCache>
                <c:ptCount val="1"/>
                <c:pt idx="0">
                  <c:v>Total Phos</c:v>
                </c:pt>
              </c:strCache>
            </c:strRef>
          </c:tx>
          <c:spPr>
            <a:ln w="28575">
              <a:noFill/>
            </a:ln>
          </c:spPr>
          <c:marker>
            <c:symbol val="diamond"/>
            <c:size val="10"/>
            <c:spPr>
              <a:solidFill>
                <a:srgbClr val="FF0000"/>
              </a:solidFill>
              <a:ln>
                <a:solidFill>
                  <a:schemeClr val="tx1"/>
                </a:solidFill>
              </a:ln>
            </c:spPr>
          </c:marker>
          <c:trendline>
            <c:spPr>
              <a:ln w="19050">
                <a:solidFill>
                  <a:srgbClr val="FF0000"/>
                </a:solidFill>
                <a:prstDash val="sysDash"/>
              </a:ln>
            </c:spPr>
            <c:trendlineType val="linear"/>
            <c:dispRSqr val="1"/>
            <c:dispEq val="1"/>
            <c:trendlineLbl>
              <c:layout>
                <c:manualLayout>
                  <c:x val="0.21921500437445318"/>
                  <c:y val="0.16060513269174687"/>
                </c:manualLayout>
              </c:layout>
              <c:numFmt formatCode="General" sourceLinked="0"/>
            </c:trendlineLbl>
          </c:trendline>
          <c:xVal>
            <c:numRef>
              <c:f>'Bottom Big Chemistry'!$A$5:$A$10</c:f>
              <c:numCache>
                <c:formatCode>m/d/yyyy</c:formatCode>
                <c:ptCount val="6"/>
                <c:pt idx="0">
                  <c:v>42520</c:v>
                </c:pt>
                <c:pt idx="1">
                  <c:v>42538</c:v>
                </c:pt>
                <c:pt idx="2">
                  <c:v>42556</c:v>
                </c:pt>
                <c:pt idx="3">
                  <c:v>42572</c:v>
                </c:pt>
                <c:pt idx="4">
                  <c:v>42585</c:v>
                </c:pt>
                <c:pt idx="5">
                  <c:v>42599</c:v>
                </c:pt>
              </c:numCache>
            </c:numRef>
          </c:xVal>
          <c:yVal>
            <c:numRef>
              <c:f>'Bottom Big Chemistry'!$E$5:$E$10</c:f>
              <c:numCache>
                <c:formatCode>General</c:formatCode>
                <c:ptCount val="6"/>
                <c:pt idx="0">
                  <c:v>0.03</c:v>
                </c:pt>
                <c:pt idx="1">
                  <c:v>5.1999999999999998E-2</c:v>
                </c:pt>
                <c:pt idx="2">
                  <c:v>3.7999999999999999E-2</c:v>
                </c:pt>
                <c:pt idx="3">
                  <c:v>0.161</c:v>
                </c:pt>
                <c:pt idx="4">
                  <c:v>0.122</c:v>
                </c:pt>
                <c:pt idx="5">
                  <c:v>0.224</c:v>
                </c:pt>
              </c:numCache>
            </c:numRef>
          </c:yVal>
          <c:smooth val="0"/>
        </c:ser>
        <c:dLbls>
          <c:showLegendKey val="0"/>
          <c:showVal val="0"/>
          <c:showCatName val="0"/>
          <c:showSerName val="0"/>
          <c:showPercent val="0"/>
          <c:showBubbleSize val="0"/>
        </c:dLbls>
        <c:axId val="168283520"/>
        <c:axId val="204979584"/>
      </c:scatterChart>
      <c:valAx>
        <c:axId val="168283520"/>
        <c:scaling>
          <c:orientation val="minMax"/>
        </c:scaling>
        <c:delete val="0"/>
        <c:axPos val="b"/>
        <c:title>
          <c:tx>
            <c:rich>
              <a:bodyPr/>
              <a:lstStyle/>
              <a:p>
                <a:pPr>
                  <a:defRPr/>
                </a:pPr>
                <a:r>
                  <a:rPr lang="en-US"/>
                  <a:t>Date</a:t>
                </a:r>
              </a:p>
            </c:rich>
          </c:tx>
          <c:overlay val="0"/>
        </c:title>
        <c:numFmt formatCode="m/d/yyyy" sourceLinked="1"/>
        <c:majorTickMark val="out"/>
        <c:minorTickMark val="none"/>
        <c:tickLblPos val="nextTo"/>
        <c:crossAx val="204979584"/>
        <c:crosses val="autoZero"/>
        <c:crossBetween val="midCat"/>
      </c:valAx>
      <c:valAx>
        <c:axId val="204979584"/>
        <c:scaling>
          <c:orientation val="minMax"/>
        </c:scaling>
        <c:delete val="0"/>
        <c:axPos val="l"/>
        <c:majorGridlines/>
        <c:title>
          <c:tx>
            <c:rich>
              <a:bodyPr rot="-5400000" vert="horz"/>
              <a:lstStyle/>
              <a:p>
                <a:pPr>
                  <a:defRPr/>
                </a:pPr>
                <a:r>
                  <a:rPr lang="en-US"/>
                  <a:t>mg/l</a:t>
                </a:r>
              </a:p>
            </c:rich>
          </c:tx>
          <c:overlay val="0"/>
        </c:title>
        <c:numFmt formatCode="General" sourceLinked="1"/>
        <c:majorTickMark val="out"/>
        <c:minorTickMark val="none"/>
        <c:tickLblPos val="nextTo"/>
        <c:crossAx val="168283520"/>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'Bottom Big Chemistry'!$C$4</c:f>
              <c:strCache>
                <c:ptCount val="1"/>
                <c:pt idx="0">
                  <c:v>Sol. Reactive Phos</c:v>
                </c:pt>
              </c:strCache>
            </c:strRef>
          </c:tx>
          <c:spPr>
            <a:ln w="28575">
              <a:noFill/>
            </a:ln>
          </c:spPr>
          <c:marker>
            <c:spPr>
              <a:ln>
                <a:solidFill>
                  <a:schemeClr val="tx1"/>
                </a:solidFill>
              </a:ln>
            </c:spPr>
          </c:marker>
          <c:trendline>
            <c:spPr>
              <a:ln w="19050">
                <a:solidFill>
                  <a:schemeClr val="accent1"/>
                </a:solidFill>
                <a:prstDash val="sysDash"/>
              </a:ln>
            </c:spPr>
            <c:trendlineType val="poly"/>
            <c:order val="2"/>
            <c:dispRSqr val="1"/>
            <c:dispEq val="1"/>
            <c:trendlineLbl>
              <c:layout>
                <c:manualLayout>
                  <c:x val="-3.678499562554681E-2"/>
                  <c:y val="3.9523913677456987E-2"/>
                </c:manualLayout>
              </c:layout>
              <c:numFmt formatCode="General" sourceLinked="0"/>
            </c:trendlineLbl>
          </c:trendline>
          <c:xVal>
            <c:numRef>
              <c:f>'Bottom Big Chemistry'!$A$5:$A$10</c:f>
              <c:numCache>
                <c:formatCode>m/d/yyyy</c:formatCode>
                <c:ptCount val="6"/>
                <c:pt idx="0">
                  <c:v>42520</c:v>
                </c:pt>
                <c:pt idx="1">
                  <c:v>42538</c:v>
                </c:pt>
                <c:pt idx="2">
                  <c:v>42556</c:v>
                </c:pt>
                <c:pt idx="3">
                  <c:v>42572</c:v>
                </c:pt>
                <c:pt idx="4">
                  <c:v>42585</c:v>
                </c:pt>
                <c:pt idx="5">
                  <c:v>42599</c:v>
                </c:pt>
              </c:numCache>
            </c:numRef>
          </c:xVal>
          <c:yVal>
            <c:numRef>
              <c:f>'Bottom Big Chemistry'!$C$5:$C$10</c:f>
              <c:numCache>
                <c:formatCode>General</c:formatCode>
                <c:ptCount val="6"/>
                <c:pt idx="0">
                  <c:v>1.6E-2</c:v>
                </c:pt>
                <c:pt idx="1">
                  <c:v>8.9999999999999993E-3</c:v>
                </c:pt>
                <c:pt idx="2">
                  <c:v>8.0000000000000002E-3</c:v>
                </c:pt>
                <c:pt idx="3">
                  <c:v>2.1999999999999999E-2</c:v>
                </c:pt>
                <c:pt idx="4">
                  <c:v>1.7000000000000001E-2</c:v>
                </c:pt>
                <c:pt idx="5">
                  <c:v>5.3999999999999999E-2</c:v>
                </c:pt>
              </c:numCache>
            </c:numRef>
          </c:yVal>
          <c:smooth val="0"/>
        </c:ser>
        <c:dLbls>
          <c:showLegendKey val="0"/>
          <c:showVal val="0"/>
          <c:showCatName val="0"/>
          <c:showSerName val="0"/>
          <c:showPercent val="0"/>
          <c:showBubbleSize val="0"/>
        </c:dLbls>
        <c:axId val="205386112"/>
        <c:axId val="205388032"/>
      </c:scatterChart>
      <c:valAx>
        <c:axId val="205386112"/>
        <c:scaling>
          <c:orientation val="minMax"/>
        </c:scaling>
        <c:delete val="0"/>
        <c:axPos val="b"/>
        <c:title>
          <c:tx>
            <c:rich>
              <a:bodyPr/>
              <a:lstStyle/>
              <a:p>
                <a:pPr>
                  <a:defRPr/>
                </a:pPr>
                <a:r>
                  <a:rPr lang="en-US"/>
                  <a:t>Date</a:t>
                </a:r>
              </a:p>
            </c:rich>
          </c:tx>
          <c:overlay val="0"/>
        </c:title>
        <c:numFmt formatCode="m/d/yyyy" sourceLinked="1"/>
        <c:majorTickMark val="out"/>
        <c:minorTickMark val="none"/>
        <c:tickLblPos val="nextTo"/>
        <c:crossAx val="205388032"/>
        <c:crosses val="autoZero"/>
        <c:crossBetween val="midCat"/>
      </c:valAx>
      <c:valAx>
        <c:axId val="205388032"/>
        <c:scaling>
          <c:orientation val="minMax"/>
        </c:scaling>
        <c:delete val="0"/>
        <c:axPos val="l"/>
        <c:majorGridlines/>
        <c:title>
          <c:tx>
            <c:rich>
              <a:bodyPr rot="-5400000" vert="horz"/>
              <a:lstStyle/>
              <a:p>
                <a:pPr>
                  <a:defRPr/>
                </a:pPr>
                <a:r>
                  <a:rPr lang="en-US"/>
                  <a:t>mg/l</a:t>
                </a:r>
              </a:p>
            </c:rich>
          </c:tx>
          <c:overlay val="0"/>
        </c:title>
        <c:numFmt formatCode="General" sourceLinked="1"/>
        <c:majorTickMark val="out"/>
        <c:minorTickMark val="none"/>
        <c:tickLblPos val="nextTo"/>
        <c:crossAx val="20538611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Dissolved O</a:t>
            </a:r>
            <a:r>
              <a:rPr lang="en-US" baseline="-25000"/>
              <a:t>2</a:t>
            </a:r>
          </a:p>
        </c:rich>
      </c:tx>
      <c:overlay val="0"/>
    </c:title>
    <c:autoTitleDeleted val="0"/>
    <c:plotArea>
      <c:layout/>
      <c:scatterChart>
        <c:scatterStyle val="smoothMarker"/>
        <c:varyColors val="0"/>
        <c:ser>
          <c:idx val="0"/>
          <c:order val="0"/>
          <c:tx>
            <c:strRef>
              <c:f>Probe!$A$4</c:f>
              <c:strCache>
                <c:ptCount val="1"/>
                <c:pt idx="0">
                  <c:v>4/29/2016</c:v>
                </c:pt>
              </c:strCache>
            </c:strRef>
          </c:tx>
          <c:xVal>
            <c:numRef>
              <c:f>Probe!$D$4:$D$10</c:f>
              <c:numCache>
                <c:formatCode>General</c:formatCode>
                <c:ptCount val="7"/>
                <c:pt idx="0">
                  <c:v>6.75</c:v>
                </c:pt>
                <c:pt idx="1">
                  <c:v>6.83</c:v>
                </c:pt>
                <c:pt idx="2">
                  <c:v>6.85</c:v>
                </c:pt>
                <c:pt idx="3">
                  <c:v>6.9</c:v>
                </c:pt>
                <c:pt idx="4">
                  <c:v>6.88</c:v>
                </c:pt>
                <c:pt idx="5">
                  <c:v>6.86</c:v>
                </c:pt>
                <c:pt idx="6">
                  <c:v>6.87</c:v>
                </c:pt>
              </c:numCache>
            </c:numRef>
          </c:xVal>
          <c:yVal>
            <c:numRef>
              <c:f>Probe!$B$4:$B$10</c:f>
              <c:numCache>
                <c:formatCode>General</c:formatCode>
                <c:ptCount val="7"/>
                <c:pt idx="0">
                  <c:v>0</c:v>
                </c:pt>
                <c:pt idx="1">
                  <c:v>1</c:v>
                </c:pt>
                <c:pt idx="2">
                  <c:v>2</c:v>
                </c:pt>
                <c:pt idx="3">
                  <c:v>3</c:v>
                </c:pt>
                <c:pt idx="4">
                  <c:v>4</c:v>
                </c:pt>
                <c:pt idx="5">
                  <c:v>5</c:v>
                </c:pt>
                <c:pt idx="6">
                  <c:v>6</c:v>
                </c:pt>
              </c:numCache>
            </c:numRef>
          </c:yVal>
          <c:smooth val="1"/>
        </c:ser>
        <c:ser>
          <c:idx val="1"/>
          <c:order val="1"/>
          <c:tx>
            <c:strRef>
              <c:f>Probe!$A$13</c:f>
              <c:strCache>
                <c:ptCount val="1"/>
                <c:pt idx="0">
                  <c:v>5/15/2016</c:v>
                </c:pt>
              </c:strCache>
            </c:strRef>
          </c:tx>
          <c:xVal>
            <c:numRef>
              <c:f>Probe!$D$13:$D$21</c:f>
              <c:numCache>
                <c:formatCode>General</c:formatCode>
                <c:ptCount val="9"/>
                <c:pt idx="0">
                  <c:v>6.92</c:v>
                </c:pt>
                <c:pt idx="1">
                  <c:v>6.98</c:v>
                </c:pt>
                <c:pt idx="2">
                  <c:v>7</c:v>
                </c:pt>
                <c:pt idx="3">
                  <c:v>7</c:v>
                </c:pt>
                <c:pt idx="4">
                  <c:v>6.98</c:v>
                </c:pt>
                <c:pt idx="5">
                  <c:v>7</c:v>
                </c:pt>
                <c:pt idx="6">
                  <c:v>6.95</c:v>
                </c:pt>
                <c:pt idx="7">
                  <c:v>6.94</c:v>
                </c:pt>
                <c:pt idx="8">
                  <c:v>6.89</c:v>
                </c:pt>
              </c:numCache>
            </c:numRef>
          </c:xVal>
          <c:yVal>
            <c:numRef>
              <c:f>Probe!$B$13:$B$21</c:f>
              <c:numCache>
                <c:formatCode>General</c:formatCode>
                <c:ptCount val="9"/>
                <c:pt idx="0">
                  <c:v>0</c:v>
                </c:pt>
                <c:pt idx="1">
                  <c:v>1</c:v>
                </c:pt>
                <c:pt idx="2">
                  <c:v>2</c:v>
                </c:pt>
                <c:pt idx="3">
                  <c:v>3</c:v>
                </c:pt>
                <c:pt idx="4">
                  <c:v>4</c:v>
                </c:pt>
                <c:pt idx="5">
                  <c:v>5</c:v>
                </c:pt>
                <c:pt idx="6">
                  <c:v>6</c:v>
                </c:pt>
                <c:pt idx="7">
                  <c:v>7</c:v>
                </c:pt>
                <c:pt idx="8">
                  <c:v>8</c:v>
                </c:pt>
              </c:numCache>
            </c:numRef>
          </c:yVal>
          <c:smooth val="1"/>
        </c:ser>
        <c:ser>
          <c:idx val="2"/>
          <c:order val="2"/>
          <c:tx>
            <c:strRef>
              <c:f>Probe!$A$22</c:f>
              <c:strCache>
                <c:ptCount val="1"/>
                <c:pt idx="0">
                  <c:v>5/30/2016</c:v>
                </c:pt>
              </c:strCache>
            </c:strRef>
          </c:tx>
          <c:xVal>
            <c:numRef>
              <c:f>Probe!$D$13:$D$21</c:f>
              <c:numCache>
                <c:formatCode>General</c:formatCode>
                <c:ptCount val="9"/>
                <c:pt idx="0">
                  <c:v>6.92</c:v>
                </c:pt>
                <c:pt idx="1">
                  <c:v>6.98</c:v>
                </c:pt>
                <c:pt idx="2">
                  <c:v>7</c:v>
                </c:pt>
                <c:pt idx="3">
                  <c:v>7</c:v>
                </c:pt>
                <c:pt idx="4">
                  <c:v>6.98</c:v>
                </c:pt>
                <c:pt idx="5">
                  <c:v>7</c:v>
                </c:pt>
                <c:pt idx="6">
                  <c:v>6.95</c:v>
                </c:pt>
                <c:pt idx="7">
                  <c:v>6.94</c:v>
                </c:pt>
                <c:pt idx="8">
                  <c:v>6.89</c:v>
                </c:pt>
              </c:numCache>
            </c:numRef>
          </c:xVal>
          <c:yVal>
            <c:numRef>
              <c:f>Probe!$B$22:$B$30</c:f>
              <c:numCache>
                <c:formatCode>General</c:formatCode>
                <c:ptCount val="9"/>
                <c:pt idx="0">
                  <c:v>0</c:v>
                </c:pt>
                <c:pt idx="1">
                  <c:v>1</c:v>
                </c:pt>
                <c:pt idx="2">
                  <c:v>2</c:v>
                </c:pt>
                <c:pt idx="3">
                  <c:v>3</c:v>
                </c:pt>
                <c:pt idx="4">
                  <c:v>4</c:v>
                </c:pt>
                <c:pt idx="5">
                  <c:v>5</c:v>
                </c:pt>
                <c:pt idx="6">
                  <c:v>6</c:v>
                </c:pt>
                <c:pt idx="7">
                  <c:v>7</c:v>
                </c:pt>
                <c:pt idx="8">
                  <c:v>8</c:v>
                </c:pt>
              </c:numCache>
            </c:numRef>
          </c:yVal>
          <c:smooth val="1"/>
        </c:ser>
        <c:ser>
          <c:idx val="3"/>
          <c:order val="3"/>
          <c:tx>
            <c:strRef>
              <c:f>Probe!$A$31</c:f>
              <c:strCache>
                <c:ptCount val="1"/>
                <c:pt idx="0">
                  <c:v>6/17/2016</c:v>
                </c:pt>
              </c:strCache>
            </c:strRef>
          </c:tx>
          <c:xVal>
            <c:numRef>
              <c:f>Probe!$D$31:$D$39</c:f>
              <c:numCache>
                <c:formatCode>General</c:formatCode>
                <c:ptCount val="9"/>
                <c:pt idx="0">
                  <c:v>7.88</c:v>
                </c:pt>
                <c:pt idx="1">
                  <c:v>8.01</c:v>
                </c:pt>
                <c:pt idx="2">
                  <c:v>7.97</c:v>
                </c:pt>
                <c:pt idx="3">
                  <c:v>7.99</c:v>
                </c:pt>
                <c:pt idx="4">
                  <c:v>8.0500000000000007</c:v>
                </c:pt>
                <c:pt idx="5">
                  <c:v>8.06</c:v>
                </c:pt>
                <c:pt idx="6">
                  <c:v>7.93</c:v>
                </c:pt>
                <c:pt idx="7">
                  <c:v>7.63</c:v>
                </c:pt>
                <c:pt idx="8">
                  <c:v>7.52</c:v>
                </c:pt>
              </c:numCache>
            </c:numRef>
          </c:xVal>
          <c:yVal>
            <c:numRef>
              <c:f>Probe!$B$31:$B$39</c:f>
              <c:numCache>
                <c:formatCode>General</c:formatCode>
                <c:ptCount val="9"/>
                <c:pt idx="0">
                  <c:v>0</c:v>
                </c:pt>
                <c:pt idx="1">
                  <c:v>1</c:v>
                </c:pt>
                <c:pt idx="2">
                  <c:v>2</c:v>
                </c:pt>
                <c:pt idx="3">
                  <c:v>3</c:v>
                </c:pt>
                <c:pt idx="4">
                  <c:v>4</c:v>
                </c:pt>
                <c:pt idx="5">
                  <c:v>5</c:v>
                </c:pt>
                <c:pt idx="6">
                  <c:v>6</c:v>
                </c:pt>
                <c:pt idx="7">
                  <c:v>7</c:v>
                </c:pt>
                <c:pt idx="8">
                  <c:v>8</c:v>
                </c:pt>
              </c:numCache>
            </c:numRef>
          </c:yVal>
          <c:smooth val="1"/>
        </c:ser>
        <c:ser>
          <c:idx val="4"/>
          <c:order val="4"/>
          <c:tx>
            <c:strRef>
              <c:f>Probe!$A$40</c:f>
              <c:strCache>
                <c:ptCount val="1"/>
                <c:pt idx="0">
                  <c:v>7/5/2016</c:v>
                </c:pt>
              </c:strCache>
            </c:strRef>
          </c:tx>
          <c:xVal>
            <c:numRef>
              <c:f>Probe!$D$40:$D$48</c:f>
              <c:numCache>
                <c:formatCode>General</c:formatCode>
                <c:ptCount val="9"/>
                <c:pt idx="0">
                  <c:v>6.91</c:v>
                </c:pt>
                <c:pt idx="1">
                  <c:v>7</c:v>
                </c:pt>
                <c:pt idx="2">
                  <c:v>7</c:v>
                </c:pt>
                <c:pt idx="3">
                  <c:v>7.03</c:v>
                </c:pt>
                <c:pt idx="4">
                  <c:v>7.08</c:v>
                </c:pt>
                <c:pt idx="5">
                  <c:v>7.05</c:v>
                </c:pt>
                <c:pt idx="6">
                  <c:v>7.06</c:v>
                </c:pt>
                <c:pt idx="7">
                  <c:v>6.96</c:v>
                </c:pt>
                <c:pt idx="8">
                  <c:v>6.35</c:v>
                </c:pt>
              </c:numCache>
            </c:numRef>
          </c:xVal>
          <c:yVal>
            <c:numRef>
              <c:f>Probe!$B$40:$B$48</c:f>
              <c:numCache>
                <c:formatCode>General</c:formatCode>
                <c:ptCount val="9"/>
                <c:pt idx="0">
                  <c:v>0</c:v>
                </c:pt>
                <c:pt idx="1">
                  <c:v>1</c:v>
                </c:pt>
                <c:pt idx="2">
                  <c:v>2</c:v>
                </c:pt>
                <c:pt idx="3">
                  <c:v>3</c:v>
                </c:pt>
                <c:pt idx="4">
                  <c:v>4</c:v>
                </c:pt>
                <c:pt idx="5">
                  <c:v>5</c:v>
                </c:pt>
                <c:pt idx="6">
                  <c:v>6</c:v>
                </c:pt>
                <c:pt idx="7">
                  <c:v>7</c:v>
                </c:pt>
                <c:pt idx="8">
                  <c:v>8</c:v>
                </c:pt>
              </c:numCache>
            </c:numRef>
          </c:yVal>
          <c:smooth val="1"/>
        </c:ser>
        <c:ser>
          <c:idx val="5"/>
          <c:order val="5"/>
          <c:tx>
            <c:strRef>
              <c:f>Probe!$A$49</c:f>
              <c:strCache>
                <c:ptCount val="1"/>
                <c:pt idx="0">
                  <c:v>7/21/2016</c:v>
                </c:pt>
              </c:strCache>
            </c:strRef>
          </c:tx>
          <c:xVal>
            <c:numRef>
              <c:f>Probe!$D$49:$D$58</c:f>
              <c:numCache>
                <c:formatCode>General</c:formatCode>
                <c:ptCount val="10"/>
                <c:pt idx="0">
                  <c:v>6.91</c:v>
                </c:pt>
                <c:pt idx="1">
                  <c:v>6.96</c:v>
                </c:pt>
                <c:pt idx="2">
                  <c:v>6.99</c:v>
                </c:pt>
                <c:pt idx="3">
                  <c:v>7.01</c:v>
                </c:pt>
                <c:pt idx="4">
                  <c:v>7.02</c:v>
                </c:pt>
                <c:pt idx="5">
                  <c:v>7.06</c:v>
                </c:pt>
                <c:pt idx="6">
                  <c:v>7.25</c:v>
                </c:pt>
                <c:pt idx="7">
                  <c:v>7.11</c:v>
                </c:pt>
                <c:pt idx="8">
                  <c:v>6.69</c:v>
                </c:pt>
                <c:pt idx="9">
                  <c:v>6.52</c:v>
                </c:pt>
              </c:numCache>
            </c:numRef>
          </c:xVal>
          <c:yVal>
            <c:numRef>
              <c:f>Probe!$B$49:$B$58</c:f>
              <c:numCache>
                <c:formatCode>General</c:formatCode>
                <c:ptCount val="10"/>
                <c:pt idx="0">
                  <c:v>0</c:v>
                </c:pt>
                <c:pt idx="1">
                  <c:v>1</c:v>
                </c:pt>
                <c:pt idx="2">
                  <c:v>2</c:v>
                </c:pt>
                <c:pt idx="3">
                  <c:v>3</c:v>
                </c:pt>
                <c:pt idx="4">
                  <c:v>4</c:v>
                </c:pt>
                <c:pt idx="5">
                  <c:v>5</c:v>
                </c:pt>
                <c:pt idx="6">
                  <c:v>6</c:v>
                </c:pt>
                <c:pt idx="7">
                  <c:v>7</c:v>
                </c:pt>
                <c:pt idx="8">
                  <c:v>8</c:v>
                </c:pt>
                <c:pt idx="9">
                  <c:v>9</c:v>
                </c:pt>
              </c:numCache>
            </c:numRef>
          </c:yVal>
          <c:smooth val="1"/>
        </c:ser>
        <c:ser>
          <c:idx val="6"/>
          <c:order val="6"/>
          <c:tx>
            <c:strRef>
              <c:f>Probe!$A$59</c:f>
              <c:strCache>
                <c:ptCount val="1"/>
                <c:pt idx="0">
                  <c:v>8/3/2016</c:v>
                </c:pt>
              </c:strCache>
            </c:strRef>
          </c:tx>
          <c:xVal>
            <c:numRef>
              <c:f>Probe!$D$59:$D$68</c:f>
              <c:numCache>
                <c:formatCode>General</c:formatCode>
                <c:ptCount val="10"/>
                <c:pt idx="0">
                  <c:v>7.58</c:v>
                </c:pt>
                <c:pt idx="1">
                  <c:v>7.72</c:v>
                </c:pt>
                <c:pt idx="2">
                  <c:v>7.75</c:v>
                </c:pt>
                <c:pt idx="3">
                  <c:v>7.78</c:v>
                </c:pt>
                <c:pt idx="4">
                  <c:v>7.78</c:v>
                </c:pt>
                <c:pt idx="5">
                  <c:v>7.84</c:v>
                </c:pt>
                <c:pt idx="6">
                  <c:v>7.31</c:v>
                </c:pt>
                <c:pt idx="7">
                  <c:v>6.87</c:v>
                </c:pt>
                <c:pt idx="8">
                  <c:v>6.51</c:v>
                </c:pt>
                <c:pt idx="9">
                  <c:v>6.45</c:v>
                </c:pt>
              </c:numCache>
            </c:numRef>
          </c:xVal>
          <c:yVal>
            <c:numRef>
              <c:f>Probe!$B$59:$B$68</c:f>
              <c:numCache>
                <c:formatCode>General</c:formatCode>
                <c:ptCount val="10"/>
                <c:pt idx="0">
                  <c:v>0</c:v>
                </c:pt>
                <c:pt idx="1">
                  <c:v>1</c:v>
                </c:pt>
                <c:pt idx="2">
                  <c:v>2</c:v>
                </c:pt>
                <c:pt idx="3">
                  <c:v>3</c:v>
                </c:pt>
                <c:pt idx="4">
                  <c:v>4</c:v>
                </c:pt>
                <c:pt idx="5">
                  <c:v>5</c:v>
                </c:pt>
                <c:pt idx="6">
                  <c:v>6</c:v>
                </c:pt>
                <c:pt idx="7">
                  <c:v>7</c:v>
                </c:pt>
                <c:pt idx="8">
                  <c:v>8</c:v>
                </c:pt>
                <c:pt idx="9">
                  <c:v>9</c:v>
                </c:pt>
              </c:numCache>
            </c:numRef>
          </c:yVal>
          <c:smooth val="1"/>
        </c:ser>
        <c:ser>
          <c:idx val="7"/>
          <c:order val="7"/>
          <c:tx>
            <c:strRef>
              <c:f>Probe!$A$69</c:f>
              <c:strCache>
                <c:ptCount val="1"/>
                <c:pt idx="0">
                  <c:v>8/17/2016</c:v>
                </c:pt>
              </c:strCache>
            </c:strRef>
          </c:tx>
          <c:xVal>
            <c:numRef>
              <c:f>Probe!$D$69:$D$77</c:f>
              <c:numCache>
                <c:formatCode>General</c:formatCode>
                <c:ptCount val="9"/>
                <c:pt idx="0">
                  <c:v>7.12</c:v>
                </c:pt>
                <c:pt idx="1">
                  <c:v>7.1</c:v>
                </c:pt>
                <c:pt idx="2">
                  <c:v>7.08</c:v>
                </c:pt>
                <c:pt idx="3">
                  <c:v>7.06</c:v>
                </c:pt>
                <c:pt idx="4">
                  <c:v>7.05</c:v>
                </c:pt>
                <c:pt idx="5">
                  <c:v>6.67</c:v>
                </c:pt>
                <c:pt idx="6">
                  <c:v>5.87</c:v>
                </c:pt>
                <c:pt idx="7">
                  <c:v>5.0199999999999996</c:v>
                </c:pt>
                <c:pt idx="8">
                  <c:v>4.42</c:v>
                </c:pt>
              </c:numCache>
            </c:numRef>
          </c:xVal>
          <c:yVal>
            <c:numRef>
              <c:f>Probe!$B$69:$B$77</c:f>
              <c:numCache>
                <c:formatCode>General</c:formatCode>
                <c:ptCount val="9"/>
                <c:pt idx="0">
                  <c:v>0</c:v>
                </c:pt>
                <c:pt idx="1">
                  <c:v>1</c:v>
                </c:pt>
                <c:pt idx="2">
                  <c:v>2</c:v>
                </c:pt>
                <c:pt idx="3">
                  <c:v>3</c:v>
                </c:pt>
                <c:pt idx="4">
                  <c:v>4</c:v>
                </c:pt>
                <c:pt idx="5">
                  <c:v>5</c:v>
                </c:pt>
                <c:pt idx="6">
                  <c:v>6</c:v>
                </c:pt>
                <c:pt idx="7">
                  <c:v>7</c:v>
                </c:pt>
                <c:pt idx="8">
                  <c:v>8</c:v>
                </c:pt>
              </c:numCache>
            </c:numRef>
          </c:yVal>
          <c:smooth val="1"/>
        </c:ser>
        <c:ser>
          <c:idx val="8"/>
          <c:order val="8"/>
          <c:tx>
            <c:strRef>
              <c:f>Probe!$A$78</c:f>
              <c:strCache>
                <c:ptCount val="1"/>
                <c:pt idx="0">
                  <c:v>9/8/2016</c:v>
                </c:pt>
              </c:strCache>
            </c:strRef>
          </c:tx>
          <c:xVal>
            <c:numRef>
              <c:f>Probe!$D$78:$D$86</c:f>
              <c:numCache>
                <c:formatCode>General</c:formatCode>
                <c:ptCount val="9"/>
                <c:pt idx="0">
                  <c:v>7.29</c:v>
                </c:pt>
                <c:pt idx="1">
                  <c:v>7.3</c:v>
                </c:pt>
                <c:pt idx="2">
                  <c:v>7.31</c:v>
                </c:pt>
                <c:pt idx="3">
                  <c:v>7.29</c:v>
                </c:pt>
                <c:pt idx="4">
                  <c:v>7.29</c:v>
                </c:pt>
                <c:pt idx="5">
                  <c:v>7.26</c:v>
                </c:pt>
                <c:pt idx="6">
                  <c:v>7.2</c:v>
                </c:pt>
                <c:pt idx="7">
                  <c:v>4.82</c:v>
                </c:pt>
                <c:pt idx="8">
                  <c:v>4.3</c:v>
                </c:pt>
              </c:numCache>
            </c:numRef>
          </c:xVal>
          <c:yVal>
            <c:numRef>
              <c:f>Probe!$B$78:$B$86</c:f>
              <c:numCache>
                <c:formatCode>General</c:formatCode>
                <c:ptCount val="9"/>
                <c:pt idx="0">
                  <c:v>0</c:v>
                </c:pt>
                <c:pt idx="1">
                  <c:v>1</c:v>
                </c:pt>
                <c:pt idx="2">
                  <c:v>2</c:v>
                </c:pt>
                <c:pt idx="3">
                  <c:v>3</c:v>
                </c:pt>
                <c:pt idx="4">
                  <c:v>4</c:v>
                </c:pt>
                <c:pt idx="5">
                  <c:v>5</c:v>
                </c:pt>
                <c:pt idx="6">
                  <c:v>6</c:v>
                </c:pt>
                <c:pt idx="7">
                  <c:v>7</c:v>
                </c:pt>
                <c:pt idx="8">
                  <c:v>8</c:v>
                </c:pt>
              </c:numCache>
            </c:numRef>
          </c:yVal>
          <c:smooth val="1"/>
        </c:ser>
        <c:ser>
          <c:idx val="9"/>
          <c:order val="9"/>
          <c:tx>
            <c:strRef>
              <c:f>Probe!$A$87</c:f>
              <c:strCache>
                <c:ptCount val="1"/>
                <c:pt idx="0">
                  <c:v>9/28/2016</c:v>
                </c:pt>
              </c:strCache>
            </c:strRef>
          </c:tx>
          <c:xVal>
            <c:numRef>
              <c:f>Probe!$D$87:$D$95</c:f>
              <c:numCache>
                <c:formatCode>General</c:formatCode>
                <c:ptCount val="9"/>
                <c:pt idx="0">
                  <c:v>6</c:v>
                </c:pt>
                <c:pt idx="1">
                  <c:v>6.01</c:v>
                </c:pt>
                <c:pt idx="2">
                  <c:v>6.01</c:v>
                </c:pt>
                <c:pt idx="3">
                  <c:v>6.02</c:v>
                </c:pt>
                <c:pt idx="4">
                  <c:v>6.02</c:v>
                </c:pt>
                <c:pt idx="5">
                  <c:v>6.01</c:v>
                </c:pt>
                <c:pt idx="6">
                  <c:v>5.99</c:v>
                </c:pt>
                <c:pt idx="7">
                  <c:v>5.95</c:v>
                </c:pt>
                <c:pt idx="8">
                  <c:v>5.92</c:v>
                </c:pt>
              </c:numCache>
            </c:numRef>
          </c:xVal>
          <c:yVal>
            <c:numRef>
              <c:f>Probe!$B$87:$B$95</c:f>
              <c:numCache>
                <c:formatCode>General</c:formatCode>
                <c:ptCount val="9"/>
                <c:pt idx="0">
                  <c:v>0</c:v>
                </c:pt>
                <c:pt idx="1">
                  <c:v>1</c:v>
                </c:pt>
                <c:pt idx="2">
                  <c:v>2</c:v>
                </c:pt>
                <c:pt idx="3">
                  <c:v>3</c:v>
                </c:pt>
                <c:pt idx="4">
                  <c:v>4</c:v>
                </c:pt>
                <c:pt idx="5">
                  <c:v>5</c:v>
                </c:pt>
                <c:pt idx="6">
                  <c:v>6</c:v>
                </c:pt>
                <c:pt idx="7">
                  <c:v>7</c:v>
                </c:pt>
                <c:pt idx="8">
                  <c:v>8</c:v>
                </c:pt>
              </c:numCache>
            </c:numRef>
          </c:yVal>
          <c:smooth val="1"/>
        </c:ser>
        <c:dLbls>
          <c:showLegendKey val="0"/>
          <c:showVal val="0"/>
          <c:showCatName val="0"/>
          <c:showSerName val="0"/>
          <c:showPercent val="0"/>
          <c:showBubbleSize val="0"/>
        </c:dLbls>
        <c:axId val="151628032"/>
        <c:axId val="151630208"/>
      </c:scatterChart>
      <c:valAx>
        <c:axId val="151628032"/>
        <c:scaling>
          <c:orientation val="minMax"/>
          <c:min val="4"/>
        </c:scaling>
        <c:delete val="0"/>
        <c:axPos val="b"/>
        <c:title>
          <c:tx>
            <c:rich>
              <a:bodyPr/>
              <a:lstStyle/>
              <a:p>
                <a:pPr>
                  <a:defRPr/>
                </a:pPr>
                <a:r>
                  <a:rPr lang="en-US"/>
                  <a:t>mg/l</a:t>
                </a:r>
              </a:p>
            </c:rich>
          </c:tx>
          <c:overlay val="0"/>
        </c:title>
        <c:numFmt formatCode="General" sourceLinked="1"/>
        <c:majorTickMark val="out"/>
        <c:minorTickMark val="none"/>
        <c:tickLblPos val="nextTo"/>
        <c:crossAx val="151630208"/>
        <c:crosses val="max"/>
        <c:crossBetween val="midCat"/>
      </c:valAx>
      <c:valAx>
        <c:axId val="151630208"/>
        <c:scaling>
          <c:orientation val="maxMin"/>
        </c:scaling>
        <c:delete val="0"/>
        <c:axPos val="l"/>
        <c:majorGridlines/>
        <c:title>
          <c:tx>
            <c:rich>
              <a:bodyPr rot="-5400000" vert="horz"/>
              <a:lstStyle/>
              <a:p>
                <a:pPr>
                  <a:defRPr/>
                </a:pPr>
                <a:r>
                  <a:rPr lang="en-US"/>
                  <a:t>Depth</a:t>
                </a:r>
                <a:r>
                  <a:rPr lang="en-US" baseline="0"/>
                  <a:t> (m)</a:t>
                </a:r>
                <a:endParaRPr lang="en-US"/>
              </a:p>
            </c:rich>
          </c:tx>
          <c:overlay val="0"/>
        </c:title>
        <c:numFmt formatCode="General" sourceLinked="1"/>
        <c:majorTickMark val="out"/>
        <c:minorTickMark val="none"/>
        <c:tickLblPos val="nextTo"/>
        <c:crossAx val="151628032"/>
        <c:crossesAt val="0"/>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Temperature</a:t>
            </a:r>
          </a:p>
        </c:rich>
      </c:tx>
      <c:overlay val="0"/>
    </c:title>
    <c:autoTitleDeleted val="0"/>
    <c:plotArea>
      <c:layout/>
      <c:scatterChart>
        <c:scatterStyle val="smoothMarker"/>
        <c:varyColors val="0"/>
        <c:ser>
          <c:idx val="0"/>
          <c:order val="0"/>
          <c:tx>
            <c:strRef>
              <c:f>Probe!$A$4</c:f>
              <c:strCache>
                <c:ptCount val="1"/>
                <c:pt idx="0">
                  <c:v>4/29/2016</c:v>
                </c:pt>
              </c:strCache>
            </c:strRef>
          </c:tx>
          <c:xVal>
            <c:numRef>
              <c:f>Probe!$C$4:$C$10</c:f>
              <c:numCache>
                <c:formatCode>General</c:formatCode>
                <c:ptCount val="7"/>
                <c:pt idx="0">
                  <c:v>13.1</c:v>
                </c:pt>
                <c:pt idx="1">
                  <c:v>12.4</c:v>
                </c:pt>
                <c:pt idx="2">
                  <c:v>11.8</c:v>
                </c:pt>
                <c:pt idx="3">
                  <c:v>11.4</c:v>
                </c:pt>
                <c:pt idx="4">
                  <c:v>11.2</c:v>
                </c:pt>
                <c:pt idx="5">
                  <c:v>11.1</c:v>
                </c:pt>
                <c:pt idx="6">
                  <c:v>10.8</c:v>
                </c:pt>
              </c:numCache>
            </c:numRef>
          </c:xVal>
          <c:yVal>
            <c:numRef>
              <c:f>Probe!$B$4:$B$12</c:f>
              <c:numCache>
                <c:formatCode>General</c:formatCode>
                <c:ptCount val="9"/>
                <c:pt idx="0">
                  <c:v>0</c:v>
                </c:pt>
                <c:pt idx="1">
                  <c:v>1</c:v>
                </c:pt>
                <c:pt idx="2">
                  <c:v>2</c:v>
                </c:pt>
                <c:pt idx="3">
                  <c:v>3</c:v>
                </c:pt>
                <c:pt idx="4">
                  <c:v>4</c:v>
                </c:pt>
                <c:pt idx="5">
                  <c:v>5</c:v>
                </c:pt>
                <c:pt idx="6">
                  <c:v>6</c:v>
                </c:pt>
                <c:pt idx="7">
                  <c:v>7</c:v>
                </c:pt>
                <c:pt idx="8">
                  <c:v>8</c:v>
                </c:pt>
              </c:numCache>
            </c:numRef>
          </c:yVal>
          <c:smooth val="1"/>
        </c:ser>
        <c:ser>
          <c:idx val="1"/>
          <c:order val="1"/>
          <c:tx>
            <c:strRef>
              <c:f>Probe!$A$13</c:f>
              <c:strCache>
                <c:ptCount val="1"/>
                <c:pt idx="0">
                  <c:v>5/15/2016</c:v>
                </c:pt>
              </c:strCache>
            </c:strRef>
          </c:tx>
          <c:xVal>
            <c:numRef>
              <c:f>Probe!$C$13:$C$21</c:f>
              <c:numCache>
                <c:formatCode>General</c:formatCode>
                <c:ptCount val="9"/>
                <c:pt idx="0">
                  <c:v>16</c:v>
                </c:pt>
                <c:pt idx="1">
                  <c:v>15.5</c:v>
                </c:pt>
                <c:pt idx="2">
                  <c:v>14.8</c:v>
                </c:pt>
                <c:pt idx="3">
                  <c:v>14.1</c:v>
                </c:pt>
                <c:pt idx="4">
                  <c:v>14.5</c:v>
                </c:pt>
                <c:pt idx="5">
                  <c:v>13.5</c:v>
                </c:pt>
                <c:pt idx="6">
                  <c:v>13.5</c:v>
                </c:pt>
                <c:pt idx="7">
                  <c:v>13.3</c:v>
                </c:pt>
                <c:pt idx="8">
                  <c:v>13.3</c:v>
                </c:pt>
              </c:numCache>
            </c:numRef>
          </c:xVal>
          <c:yVal>
            <c:numRef>
              <c:f>Probe!$B$13:$B$21</c:f>
              <c:numCache>
                <c:formatCode>General</c:formatCode>
                <c:ptCount val="9"/>
                <c:pt idx="0">
                  <c:v>0</c:v>
                </c:pt>
                <c:pt idx="1">
                  <c:v>1</c:v>
                </c:pt>
                <c:pt idx="2">
                  <c:v>2</c:v>
                </c:pt>
                <c:pt idx="3">
                  <c:v>3</c:v>
                </c:pt>
                <c:pt idx="4">
                  <c:v>4</c:v>
                </c:pt>
                <c:pt idx="5">
                  <c:v>5</c:v>
                </c:pt>
                <c:pt idx="6">
                  <c:v>6</c:v>
                </c:pt>
                <c:pt idx="7">
                  <c:v>7</c:v>
                </c:pt>
                <c:pt idx="8">
                  <c:v>8</c:v>
                </c:pt>
              </c:numCache>
            </c:numRef>
          </c:yVal>
          <c:smooth val="1"/>
        </c:ser>
        <c:ser>
          <c:idx val="2"/>
          <c:order val="2"/>
          <c:tx>
            <c:strRef>
              <c:f>Probe!$A$22</c:f>
              <c:strCache>
                <c:ptCount val="1"/>
                <c:pt idx="0">
                  <c:v>5/30/2016</c:v>
                </c:pt>
              </c:strCache>
            </c:strRef>
          </c:tx>
          <c:xVal>
            <c:numRef>
              <c:f>Probe!$C$22:$C$30</c:f>
              <c:numCache>
                <c:formatCode>General</c:formatCode>
                <c:ptCount val="9"/>
                <c:pt idx="0">
                  <c:v>21.3</c:v>
                </c:pt>
                <c:pt idx="1">
                  <c:v>21.3</c:v>
                </c:pt>
                <c:pt idx="2">
                  <c:v>21.2</c:v>
                </c:pt>
                <c:pt idx="3">
                  <c:v>21.1</c:v>
                </c:pt>
                <c:pt idx="4">
                  <c:v>21</c:v>
                </c:pt>
                <c:pt idx="5">
                  <c:v>20.5</c:v>
                </c:pt>
                <c:pt idx="6">
                  <c:v>19.600000000000001</c:v>
                </c:pt>
                <c:pt idx="7">
                  <c:v>18.5</c:v>
                </c:pt>
                <c:pt idx="8">
                  <c:v>18.100000000000001</c:v>
                </c:pt>
              </c:numCache>
            </c:numRef>
          </c:xVal>
          <c:yVal>
            <c:numRef>
              <c:f>Probe!$B$22:$B$30</c:f>
              <c:numCache>
                <c:formatCode>General</c:formatCode>
                <c:ptCount val="9"/>
                <c:pt idx="0">
                  <c:v>0</c:v>
                </c:pt>
                <c:pt idx="1">
                  <c:v>1</c:v>
                </c:pt>
                <c:pt idx="2">
                  <c:v>2</c:v>
                </c:pt>
                <c:pt idx="3">
                  <c:v>3</c:v>
                </c:pt>
                <c:pt idx="4">
                  <c:v>4</c:v>
                </c:pt>
                <c:pt idx="5">
                  <c:v>5</c:v>
                </c:pt>
                <c:pt idx="6">
                  <c:v>6</c:v>
                </c:pt>
                <c:pt idx="7">
                  <c:v>7</c:v>
                </c:pt>
                <c:pt idx="8">
                  <c:v>8</c:v>
                </c:pt>
              </c:numCache>
            </c:numRef>
          </c:yVal>
          <c:smooth val="1"/>
        </c:ser>
        <c:ser>
          <c:idx val="3"/>
          <c:order val="3"/>
          <c:tx>
            <c:strRef>
              <c:f>Probe!$A$31</c:f>
              <c:strCache>
                <c:ptCount val="1"/>
                <c:pt idx="0">
                  <c:v>6/17/2016</c:v>
                </c:pt>
              </c:strCache>
            </c:strRef>
          </c:tx>
          <c:xVal>
            <c:numRef>
              <c:f>Probe!$C$31:$C$39</c:f>
              <c:numCache>
                <c:formatCode>General</c:formatCode>
                <c:ptCount val="9"/>
                <c:pt idx="0">
                  <c:v>23.6</c:v>
                </c:pt>
                <c:pt idx="1">
                  <c:v>23.1</c:v>
                </c:pt>
                <c:pt idx="2">
                  <c:v>23.2</c:v>
                </c:pt>
                <c:pt idx="3">
                  <c:v>23</c:v>
                </c:pt>
                <c:pt idx="4">
                  <c:v>22.9</c:v>
                </c:pt>
                <c:pt idx="5">
                  <c:v>22.4</c:v>
                </c:pt>
                <c:pt idx="6">
                  <c:v>21.4</c:v>
                </c:pt>
                <c:pt idx="7">
                  <c:v>20.3</c:v>
                </c:pt>
                <c:pt idx="8">
                  <c:v>19.5</c:v>
                </c:pt>
              </c:numCache>
            </c:numRef>
          </c:xVal>
          <c:yVal>
            <c:numRef>
              <c:f>Probe!$B$31:$B$39</c:f>
              <c:numCache>
                <c:formatCode>General</c:formatCode>
                <c:ptCount val="9"/>
                <c:pt idx="0">
                  <c:v>0</c:v>
                </c:pt>
                <c:pt idx="1">
                  <c:v>1</c:v>
                </c:pt>
                <c:pt idx="2">
                  <c:v>2</c:v>
                </c:pt>
                <c:pt idx="3">
                  <c:v>3</c:v>
                </c:pt>
                <c:pt idx="4">
                  <c:v>4</c:v>
                </c:pt>
                <c:pt idx="5">
                  <c:v>5</c:v>
                </c:pt>
                <c:pt idx="6">
                  <c:v>6</c:v>
                </c:pt>
                <c:pt idx="7">
                  <c:v>7</c:v>
                </c:pt>
                <c:pt idx="8">
                  <c:v>8</c:v>
                </c:pt>
              </c:numCache>
            </c:numRef>
          </c:yVal>
          <c:smooth val="1"/>
        </c:ser>
        <c:ser>
          <c:idx val="4"/>
          <c:order val="4"/>
          <c:tx>
            <c:strRef>
              <c:f>Probe!$A$40</c:f>
              <c:strCache>
                <c:ptCount val="1"/>
                <c:pt idx="0">
                  <c:v>7/5/2016</c:v>
                </c:pt>
              </c:strCache>
            </c:strRef>
          </c:tx>
          <c:xVal>
            <c:numRef>
              <c:f>Probe!$C$40:$C$48</c:f>
              <c:numCache>
                <c:formatCode>General</c:formatCode>
                <c:ptCount val="9"/>
                <c:pt idx="0">
                  <c:v>26.1</c:v>
                </c:pt>
                <c:pt idx="1">
                  <c:v>25.9</c:v>
                </c:pt>
                <c:pt idx="2">
                  <c:v>25.8</c:v>
                </c:pt>
                <c:pt idx="3">
                  <c:v>25.6</c:v>
                </c:pt>
                <c:pt idx="4">
                  <c:v>25.3</c:v>
                </c:pt>
                <c:pt idx="5">
                  <c:v>25.3</c:v>
                </c:pt>
                <c:pt idx="6">
                  <c:v>25.1</c:v>
                </c:pt>
                <c:pt idx="7">
                  <c:v>24.7</c:v>
                </c:pt>
                <c:pt idx="8">
                  <c:v>22.3</c:v>
                </c:pt>
              </c:numCache>
            </c:numRef>
          </c:xVal>
          <c:yVal>
            <c:numRef>
              <c:f>Probe!$B$40:$B$48</c:f>
              <c:numCache>
                <c:formatCode>General</c:formatCode>
                <c:ptCount val="9"/>
                <c:pt idx="0">
                  <c:v>0</c:v>
                </c:pt>
                <c:pt idx="1">
                  <c:v>1</c:v>
                </c:pt>
                <c:pt idx="2">
                  <c:v>2</c:v>
                </c:pt>
                <c:pt idx="3">
                  <c:v>3</c:v>
                </c:pt>
                <c:pt idx="4">
                  <c:v>4</c:v>
                </c:pt>
                <c:pt idx="5">
                  <c:v>5</c:v>
                </c:pt>
                <c:pt idx="6">
                  <c:v>6</c:v>
                </c:pt>
                <c:pt idx="7">
                  <c:v>7</c:v>
                </c:pt>
                <c:pt idx="8">
                  <c:v>8</c:v>
                </c:pt>
              </c:numCache>
            </c:numRef>
          </c:yVal>
          <c:smooth val="1"/>
        </c:ser>
        <c:ser>
          <c:idx val="5"/>
          <c:order val="5"/>
          <c:tx>
            <c:strRef>
              <c:f>Probe!$A$49</c:f>
              <c:strCache>
                <c:ptCount val="1"/>
                <c:pt idx="0">
                  <c:v>7/21/2016</c:v>
                </c:pt>
              </c:strCache>
            </c:strRef>
          </c:tx>
          <c:xVal>
            <c:numRef>
              <c:f>Probe!$C$49:$C$58</c:f>
              <c:numCache>
                <c:formatCode>General</c:formatCode>
                <c:ptCount val="10"/>
                <c:pt idx="0">
                  <c:v>28.6</c:v>
                </c:pt>
                <c:pt idx="1">
                  <c:v>28.5</c:v>
                </c:pt>
                <c:pt idx="2">
                  <c:v>28.4</c:v>
                </c:pt>
                <c:pt idx="3">
                  <c:v>28.3</c:v>
                </c:pt>
                <c:pt idx="4">
                  <c:v>28.1</c:v>
                </c:pt>
                <c:pt idx="5">
                  <c:v>27.8</c:v>
                </c:pt>
                <c:pt idx="6">
                  <c:v>24.8</c:v>
                </c:pt>
                <c:pt idx="7">
                  <c:v>22.2</c:v>
                </c:pt>
                <c:pt idx="8">
                  <c:v>20.8</c:v>
                </c:pt>
                <c:pt idx="9">
                  <c:v>18.8</c:v>
                </c:pt>
              </c:numCache>
            </c:numRef>
          </c:xVal>
          <c:yVal>
            <c:numRef>
              <c:f>Probe!$B$49:$B$58</c:f>
              <c:numCache>
                <c:formatCode>General</c:formatCode>
                <c:ptCount val="10"/>
                <c:pt idx="0">
                  <c:v>0</c:v>
                </c:pt>
                <c:pt idx="1">
                  <c:v>1</c:v>
                </c:pt>
                <c:pt idx="2">
                  <c:v>2</c:v>
                </c:pt>
                <c:pt idx="3">
                  <c:v>3</c:v>
                </c:pt>
                <c:pt idx="4">
                  <c:v>4</c:v>
                </c:pt>
                <c:pt idx="5">
                  <c:v>5</c:v>
                </c:pt>
                <c:pt idx="6">
                  <c:v>6</c:v>
                </c:pt>
                <c:pt idx="7">
                  <c:v>7</c:v>
                </c:pt>
                <c:pt idx="8">
                  <c:v>8</c:v>
                </c:pt>
                <c:pt idx="9">
                  <c:v>9</c:v>
                </c:pt>
              </c:numCache>
            </c:numRef>
          </c:yVal>
          <c:smooth val="1"/>
        </c:ser>
        <c:ser>
          <c:idx val="6"/>
          <c:order val="6"/>
          <c:tx>
            <c:strRef>
              <c:f>Probe!$A$59</c:f>
              <c:strCache>
                <c:ptCount val="1"/>
                <c:pt idx="0">
                  <c:v>8/3/2016</c:v>
                </c:pt>
              </c:strCache>
            </c:strRef>
          </c:tx>
          <c:xVal>
            <c:numRef>
              <c:f>Probe!$C$59:$C$68</c:f>
              <c:numCache>
                <c:formatCode>General</c:formatCode>
                <c:ptCount val="10"/>
                <c:pt idx="0">
                  <c:v>27.9</c:v>
                </c:pt>
                <c:pt idx="1">
                  <c:v>28</c:v>
                </c:pt>
                <c:pt idx="2">
                  <c:v>28</c:v>
                </c:pt>
                <c:pt idx="3">
                  <c:v>27.9</c:v>
                </c:pt>
                <c:pt idx="4">
                  <c:v>27.8</c:v>
                </c:pt>
                <c:pt idx="5">
                  <c:v>27.5</c:v>
                </c:pt>
                <c:pt idx="6">
                  <c:v>21.3</c:v>
                </c:pt>
                <c:pt idx="7">
                  <c:v>20.399999999999999</c:v>
                </c:pt>
                <c:pt idx="8">
                  <c:v>19</c:v>
                </c:pt>
                <c:pt idx="9">
                  <c:v>18.8</c:v>
                </c:pt>
              </c:numCache>
            </c:numRef>
          </c:xVal>
          <c:yVal>
            <c:numRef>
              <c:f>Probe!$B$59:$B$68</c:f>
              <c:numCache>
                <c:formatCode>General</c:formatCode>
                <c:ptCount val="10"/>
                <c:pt idx="0">
                  <c:v>0</c:v>
                </c:pt>
                <c:pt idx="1">
                  <c:v>1</c:v>
                </c:pt>
                <c:pt idx="2">
                  <c:v>2</c:v>
                </c:pt>
                <c:pt idx="3">
                  <c:v>3</c:v>
                </c:pt>
                <c:pt idx="4">
                  <c:v>4</c:v>
                </c:pt>
                <c:pt idx="5">
                  <c:v>5</c:v>
                </c:pt>
                <c:pt idx="6">
                  <c:v>6</c:v>
                </c:pt>
                <c:pt idx="7">
                  <c:v>7</c:v>
                </c:pt>
                <c:pt idx="8">
                  <c:v>8</c:v>
                </c:pt>
                <c:pt idx="9">
                  <c:v>9</c:v>
                </c:pt>
              </c:numCache>
            </c:numRef>
          </c:yVal>
          <c:smooth val="1"/>
        </c:ser>
        <c:ser>
          <c:idx val="7"/>
          <c:order val="7"/>
          <c:tx>
            <c:strRef>
              <c:f>Probe!$A$69</c:f>
              <c:strCache>
                <c:ptCount val="1"/>
                <c:pt idx="0">
                  <c:v>8/17/2016</c:v>
                </c:pt>
              </c:strCache>
            </c:strRef>
          </c:tx>
          <c:xVal>
            <c:numRef>
              <c:f>Probe!$C$69:$C$77</c:f>
              <c:numCache>
                <c:formatCode>General</c:formatCode>
                <c:ptCount val="9"/>
                <c:pt idx="0">
                  <c:v>27.9</c:v>
                </c:pt>
                <c:pt idx="1">
                  <c:v>27.9</c:v>
                </c:pt>
                <c:pt idx="2">
                  <c:v>27.9</c:v>
                </c:pt>
                <c:pt idx="3">
                  <c:v>27.8</c:v>
                </c:pt>
                <c:pt idx="4">
                  <c:v>27.6</c:v>
                </c:pt>
                <c:pt idx="5">
                  <c:v>25.4</c:v>
                </c:pt>
                <c:pt idx="6">
                  <c:v>21.7</c:v>
                </c:pt>
                <c:pt idx="7">
                  <c:v>21.1</c:v>
                </c:pt>
                <c:pt idx="8">
                  <c:v>18.2</c:v>
                </c:pt>
              </c:numCache>
            </c:numRef>
          </c:xVal>
          <c:yVal>
            <c:numRef>
              <c:f>Probe!$B$69:$B$77</c:f>
              <c:numCache>
                <c:formatCode>General</c:formatCode>
                <c:ptCount val="9"/>
                <c:pt idx="0">
                  <c:v>0</c:v>
                </c:pt>
                <c:pt idx="1">
                  <c:v>1</c:v>
                </c:pt>
                <c:pt idx="2">
                  <c:v>2</c:v>
                </c:pt>
                <c:pt idx="3">
                  <c:v>3</c:v>
                </c:pt>
                <c:pt idx="4">
                  <c:v>4</c:v>
                </c:pt>
                <c:pt idx="5">
                  <c:v>5</c:v>
                </c:pt>
                <c:pt idx="6">
                  <c:v>6</c:v>
                </c:pt>
                <c:pt idx="7">
                  <c:v>7</c:v>
                </c:pt>
                <c:pt idx="8">
                  <c:v>8</c:v>
                </c:pt>
              </c:numCache>
            </c:numRef>
          </c:yVal>
          <c:smooth val="1"/>
        </c:ser>
        <c:ser>
          <c:idx val="8"/>
          <c:order val="8"/>
          <c:tx>
            <c:strRef>
              <c:f>Probe!$A$78</c:f>
              <c:strCache>
                <c:ptCount val="1"/>
                <c:pt idx="0">
                  <c:v>9/8/2016</c:v>
                </c:pt>
              </c:strCache>
            </c:strRef>
          </c:tx>
          <c:xVal>
            <c:numRef>
              <c:f>Probe!$C$78:$C$86</c:f>
              <c:numCache>
                <c:formatCode>General</c:formatCode>
                <c:ptCount val="9"/>
                <c:pt idx="0">
                  <c:v>22.4</c:v>
                </c:pt>
                <c:pt idx="1">
                  <c:v>22.5</c:v>
                </c:pt>
                <c:pt idx="2">
                  <c:v>22.5</c:v>
                </c:pt>
                <c:pt idx="3">
                  <c:v>22.6</c:v>
                </c:pt>
                <c:pt idx="4">
                  <c:v>22.5</c:v>
                </c:pt>
                <c:pt idx="5">
                  <c:v>22.5</c:v>
                </c:pt>
                <c:pt idx="6">
                  <c:v>22.4</c:v>
                </c:pt>
                <c:pt idx="7">
                  <c:v>21</c:v>
                </c:pt>
                <c:pt idx="8">
                  <c:v>19.7</c:v>
                </c:pt>
              </c:numCache>
            </c:numRef>
          </c:xVal>
          <c:yVal>
            <c:numRef>
              <c:f>Probe!$B$78:$B$86</c:f>
              <c:numCache>
                <c:formatCode>General</c:formatCode>
                <c:ptCount val="9"/>
                <c:pt idx="0">
                  <c:v>0</c:v>
                </c:pt>
                <c:pt idx="1">
                  <c:v>1</c:v>
                </c:pt>
                <c:pt idx="2">
                  <c:v>2</c:v>
                </c:pt>
                <c:pt idx="3">
                  <c:v>3</c:v>
                </c:pt>
                <c:pt idx="4">
                  <c:v>4</c:v>
                </c:pt>
                <c:pt idx="5">
                  <c:v>5</c:v>
                </c:pt>
                <c:pt idx="6">
                  <c:v>6</c:v>
                </c:pt>
                <c:pt idx="7">
                  <c:v>7</c:v>
                </c:pt>
                <c:pt idx="8">
                  <c:v>8</c:v>
                </c:pt>
              </c:numCache>
            </c:numRef>
          </c:yVal>
          <c:smooth val="1"/>
        </c:ser>
        <c:ser>
          <c:idx val="9"/>
          <c:order val="9"/>
          <c:tx>
            <c:strRef>
              <c:f>Probe!$A$87</c:f>
              <c:strCache>
                <c:ptCount val="1"/>
                <c:pt idx="0">
                  <c:v>9/28/2016</c:v>
                </c:pt>
              </c:strCache>
            </c:strRef>
          </c:tx>
          <c:xVal>
            <c:numRef>
              <c:f>Probe!$C$87:$C$95</c:f>
              <c:numCache>
                <c:formatCode>General</c:formatCode>
                <c:ptCount val="9"/>
                <c:pt idx="0">
                  <c:v>17.2</c:v>
                </c:pt>
                <c:pt idx="1">
                  <c:v>17.399999999999999</c:v>
                </c:pt>
                <c:pt idx="2">
                  <c:v>17.399999999999999</c:v>
                </c:pt>
                <c:pt idx="3">
                  <c:v>17.399999999999999</c:v>
                </c:pt>
                <c:pt idx="4">
                  <c:v>17.399999999999999</c:v>
                </c:pt>
                <c:pt idx="5">
                  <c:v>17.399999999999999</c:v>
                </c:pt>
                <c:pt idx="6">
                  <c:v>17.399999999999999</c:v>
                </c:pt>
                <c:pt idx="7">
                  <c:v>17.399999999999999</c:v>
                </c:pt>
                <c:pt idx="8">
                  <c:v>17.399999999999999</c:v>
                </c:pt>
              </c:numCache>
            </c:numRef>
          </c:xVal>
          <c:yVal>
            <c:numRef>
              <c:f>Probe!$B$87:$B$95</c:f>
              <c:numCache>
                <c:formatCode>General</c:formatCode>
                <c:ptCount val="9"/>
                <c:pt idx="0">
                  <c:v>0</c:v>
                </c:pt>
                <c:pt idx="1">
                  <c:v>1</c:v>
                </c:pt>
                <c:pt idx="2">
                  <c:v>2</c:v>
                </c:pt>
                <c:pt idx="3">
                  <c:v>3</c:v>
                </c:pt>
                <c:pt idx="4">
                  <c:v>4</c:v>
                </c:pt>
                <c:pt idx="5">
                  <c:v>5</c:v>
                </c:pt>
                <c:pt idx="6">
                  <c:v>6</c:v>
                </c:pt>
                <c:pt idx="7">
                  <c:v>7</c:v>
                </c:pt>
                <c:pt idx="8">
                  <c:v>8</c:v>
                </c:pt>
              </c:numCache>
            </c:numRef>
          </c:yVal>
          <c:smooth val="1"/>
        </c:ser>
        <c:dLbls>
          <c:showLegendKey val="0"/>
          <c:showVal val="0"/>
          <c:showCatName val="0"/>
          <c:showSerName val="0"/>
          <c:showPercent val="0"/>
          <c:showBubbleSize val="0"/>
        </c:dLbls>
        <c:axId val="151802240"/>
        <c:axId val="151804160"/>
      </c:scatterChart>
      <c:valAx>
        <c:axId val="151802240"/>
        <c:scaling>
          <c:orientation val="minMax"/>
          <c:max val="30"/>
          <c:min val="5"/>
        </c:scaling>
        <c:delete val="0"/>
        <c:axPos val="b"/>
        <c:title>
          <c:tx>
            <c:rich>
              <a:bodyPr/>
              <a:lstStyle/>
              <a:p>
                <a:pPr>
                  <a:defRPr/>
                </a:pPr>
                <a:r>
                  <a:rPr lang="en-US"/>
                  <a:t>°C</a:t>
                </a:r>
              </a:p>
            </c:rich>
          </c:tx>
          <c:overlay val="0"/>
        </c:title>
        <c:numFmt formatCode="General" sourceLinked="1"/>
        <c:majorTickMark val="out"/>
        <c:minorTickMark val="none"/>
        <c:tickLblPos val="nextTo"/>
        <c:crossAx val="151804160"/>
        <c:crosses val="max"/>
        <c:crossBetween val="midCat"/>
      </c:valAx>
      <c:valAx>
        <c:axId val="151804160"/>
        <c:scaling>
          <c:orientation val="maxMin"/>
        </c:scaling>
        <c:delete val="0"/>
        <c:axPos val="l"/>
        <c:majorGridlines/>
        <c:title>
          <c:tx>
            <c:rich>
              <a:bodyPr rot="-5400000" vert="horz"/>
              <a:lstStyle/>
              <a:p>
                <a:pPr>
                  <a:defRPr/>
                </a:pPr>
                <a:r>
                  <a:rPr lang="en-US"/>
                  <a:t>Depth (m)</a:t>
                </a:r>
              </a:p>
            </c:rich>
          </c:tx>
          <c:overlay val="0"/>
        </c:title>
        <c:numFmt formatCode="General" sourceLinked="1"/>
        <c:majorTickMark val="out"/>
        <c:minorTickMark val="none"/>
        <c:tickLblPos val="nextTo"/>
        <c:crossAx val="151802240"/>
        <c:crosses val="autoZero"/>
        <c:crossBetween val="midCat"/>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'Bottom Big Chemistry'!$B$4</c:f>
              <c:strCache>
                <c:ptCount val="1"/>
                <c:pt idx="0">
                  <c:v>Iron</c:v>
                </c:pt>
              </c:strCache>
            </c:strRef>
          </c:tx>
          <c:spPr>
            <a:ln w="28575">
              <a:noFill/>
              <a:prstDash val="sysDot"/>
            </a:ln>
          </c:spPr>
          <c:marker>
            <c:symbol val="circle"/>
            <c:size val="7"/>
            <c:spPr>
              <a:solidFill>
                <a:schemeClr val="accent2">
                  <a:lumMod val="50000"/>
                </a:schemeClr>
              </a:solidFill>
              <a:ln>
                <a:solidFill>
                  <a:schemeClr val="tx1"/>
                </a:solidFill>
              </a:ln>
            </c:spPr>
          </c:marker>
          <c:xVal>
            <c:numRef>
              <c:f>'Bottom Big Chemistry'!$A$5:$A$10</c:f>
              <c:numCache>
                <c:formatCode>m/d/yyyy</c:formatCode>
                <c:ptCount val="6"/>
                <c:pt idx="0">
                  <c:v>42520</c:v>
                </c:pt>
                <c:pt idx="1">
                  <c:v>42538</c:v>
                </c:pt>
                <c:pt idx="2">
                  <c:v>42556</c:v>
                </c:pt>
                <c:pt idx="3">
                  <c:v>42572</c:v>
                </c:pt>
                <c:pt idx="4">
                  <c:v>42585</c:v>
                </c:pt>
                <c:pt idx="5">
                  <c:v>42599</c:v>
                </c:pt>
              </c:numCache>
            </c:numRef>
          </c:xVal>
          <c:yVal>
            <c:numRef>
              <c:f>'Bottom Big Chemistry'!$B$5:$B$10</c:f>
              <c:numCache>
                <c:formatCode>General</c:formatCode>
                <c:ptCount val="6"/>
                <c:pt idx="0">
                  <c:v>1.0999999999999999E-2</c:v>
                </c:pt>
                <c:pt idx="1">
                  <c:v>8.9999999999999993E-3</c:v>
                </c:pt>
                <c:pt idx="2">
                  <c:v>0.108</c:v>
                </c:pt>
                <c:pt idx="3">
                  <c:v>8.0000000000000002E-3</c:v>
                </c:pt>
                <c:pt idx="4">
                  <c:v>6.0000000000000001E-3</c:v>
                </c:pt>
                <c:pt idx="5">
                  <c:v>7.0000000000000001E-3</c:v>
                </c:pt>
              </c:numCache>
            </c:numRef>
          </c:yVal>
          <c:smooth val="0"/>
        </c:ser>
        <c:dLbls>
          <c:showLegendKey val="0"/>
          <c:showVal val="0"/>
          <c:showCatName val="0"/>
          <c:showSerName val="0"/>
          <c:showPercent val="0"/>
          <c:showBubbleSize val="0"/>
        </c:dLbls>
        <c:axId val="151833216"/>
        <c:axId val="151835776"/>
      </c:scatterChart>
      <c:valAx>
        <c:axId val="151833216"/>
        <c:scaling>
          <c:orientation val="minMax"/>
        </c:scaling>
        <c:delete val="0"/>
        <c:axPos val="b"/>
        <c:title>
          <c:tx>
            <c:rich>
              <a:bodyPr/>
              <a:lstStyle/>
              <a:p>
                <a:pPr>
                  <a:defRPr/>
                </a:pPr>
                <a:r>
                  <a:rPr lang="en-US"/>
                  <a:t>Date</a:t>
                </a:r>
              </a:p>
            </c:rich>
          </c:tx>
          <c:overlay val="0"/>
        </c:title>
        <c:numFmt formatCode="m/d/yyyy" sourceLinked="1"/>
        <c:majorTickMark val="out"/>
        <c:minorTickMark val="none"/>
        <c:tickLblPos val="nextTo"/>
        <c:crossAx val="151835776"/>
        <c:crosses val="autoZero"/>
        <c:crossBetween val="midCat"/>
      </c:valAx>
      <c:valAx>
        <c:axId val="151835776"/>
        <c:scaling>
          <c:orientation val="minMax"/>
        </c:scaling>
        <c:delete val="0"/>
        <c:axPos val="l"/>
        <c:majorGridlines/>
        <c:title>
          <c:tx>
            <c:rich>
              <a:bodyPr rot="-5400000" vert="horz"/>
              <a:lstStyle/>
              <a:p>
                <a:pPr>
                  <a:defRPr/>
                </a:pPr>
                <a:r>
                  <a:rPr lang="en-US"/>
                  <a:t>mg/l</a:t>
                </a:r>
              </a:p>
            </c:rich>
          </c:tx>
          <c:overlay val="0"/>
        </c:title>
        <c:numFmt formatCode="General" sourceLinked="1"/>
        <c:majorTickMark val="out"/>
        <c:minorTickMark val="none"/>
        <c:tickLblPos val="nextTo"/>
        <c:crossAx val="151833216"/>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strRef>
              <c:f>'Bottom Big Chemistry'!$D$4</c:f>
              <c:strCache>
                <c:ptCount val="1"/>
                <c:pt idx="0">
                  <c:v>Sulfate</c:v>
                </c:pt>
              </c:strCache>
            </c:strRef>
          </c:tx>
          <c:spPr>
            <a:ln w="28575">
              <a:noFill/>
            </a:ln>
          </c:spPr>
          <c:marker>
            <c:symbol val="triangle"/>
            <c:size val="9"/>
            <c:spPr>
              <a:solidFill>
                <a:srgbClr val="CC6600"/>
              </a:solidFill>
              <a:ln>
                <a:solidFill>
                  <a:schemeClr val="tx1"/>
                </a:solidFill>
              </a:ln>
            </c:spPr>
          </c:marker>
          <c:trendline>
            <c:spPr>
              <a:ln w="19050">
                <a:solidFill>
                  <a:srgbClr val="CC6600"/>
                </a:solidFill>
                <a:prstDash val="sysDash"/>
              </a:ln>
            </c:spPr>
            <c:trendlineType val="linear"/>
            <c:dispRSqr val="1"/>
            <c:dispEq val="1"/>
            <c:trendlineLbl>
              <c:layout>
                <c:manualLayout>
                  <c:x val="-0.13301706036745406"/>
                  <c:y val="2.9538859725867599E-2"/>
                </c:manualLayout>
              </c:layout>
              <c:numFmt formatCode="General" sourceLinked="0"/>
            </c:trendlineLbl>
          </c:trendline>
          <c:xVal>
            <c:numRef>
              <c:f>'Bottom Big Chemistry'!$A$5:$A$10</c:f>
              <c:numCache>
                <c:formatCode>m/d/yyyy</c:formatCode>
                <c:ptCount val="6"/>
                <c:pt idx="0">
                  <c:v>42520</c:v>
                </c:pt>
                <c:pt idx="1">
                  <c:v>42538</c:v>
                </c:pt>
                <c:pt idx="2">
                  <c:v>42556</c:v>
                </c:pt>
                <c:pt idx="3">
                  <c:v>42572</c:v>
                </c:pt>
                <c:pt idx="4">
                  <c:v>42585</c:v>
                </c:pt>
                <c:pt idx="5">
                  <c:v>42599</c:v>
                </c:pt>
              </c:numCache>
            </c:numRef>
          </c:xVal>
          <c:yVal>
            <c:numRef>
              <c:f>'Bottom Big Chemistry'!$D$5:$D$10</c:f>
              <c:numCache>
                <c:formatCode>General</c:formatCode>
                <c:ptCount val="6"/>
                <c:pt idx="0">
                  <c:v>5</c:v>
                </c:pt>
                <c:pt idx="1">
                  <c:v>4.9000000000000004</c:v>
                </c:pt>
                <c:pt idx="3">
                  <c:v>3.4</c:v>
                </c:pt>
                <c:pt idx="4">
                  <c:v>3.8</c:v>
                </c:pt>
                <c:pt idx="5">
                  <c:v>2.5</c:v>
                </c:pt>
              </c:numCache>
            </c:numRef>
          </c:yVal>
          <c:smooth val="0"/>
        </c:ser>
        <c:dLbls>
          <c:showLegendKey val="0"/>
          <c:showVal val="0"/>
          <c:showCatName val="0"/>
          <c:showSerName val="0"/>
          <c:showPercent val="0"/>
          <c:showBubbleSize val="0"/>
        </c:dLbls>
        <c:axId val="151845120"/>
        <c:axId val="152379776"/>
      </c:scatterChart>
      <c:valAx>
        <c:axId val="151845120"/>
        <c:scaling>
          <c:orientation val="minMax"/>
        </c:scaling>
        <c:delete val="0"/>
        <c:axPos val="b"/>
        <c:title>
          <c:tx>
            <c:rich>
              <a:bodyPr/>
              <a:lstStyle/>
              <a:p>
                <a:pPr>
                  <a:defRPr/>
                </a:pPr>
                <a:r>
                  <a:rPr lang="en-US"/>
                  <a:t>Date</a:t>
                </a:r>
              </a:p>
            </c:rich>
          </c:tx>
          <c:overlay val="0"/>
        </c:title>
        <c:numFmt formatCode="m/d/yyyy" sourceLinked="1"/>
        <c:majorTickMark val="out"/>
        <c:minorTickMark val="none"/>
        <c:tickLblPos val="nextTo"/>
        <c:crossAx val="152379776"/>
        <c:crosses val="autoZero"/>
        <c:crossBetween val="midCat"/>
      </c:valAx>
      <c:valAx>
        <c:axId val="152379776"/>
        <c:scaling>
          <c:orientation val="minMax"/>
        </c:scaling>
        <c:delete val="0"/>
        <c:axPos val="l"/>
        <c:majorGridlines/>
        <c:title>
          <c:tx>
            <c:rich>
              <a:bodyPr rot="-5400000" vert="horz"/>
              <a:lstStyle/>
              <a:p>
                <a:pPr>
                  <a:defRPr/>
                </a:pPr>
                <a:r>
                  <a:rPr lang="en-US"/>
                  <a:t>mg/l</a:t>
                </a:r>
              </a:p>
            </c:rich>
          </c:tx>
          <c:overlay val="0"/>
        </c:title>
        <c:numFmt formatCode="General" sourceLinked="1"/>
        <c:majorTickMark val="out"/>
        <c:minorTickMark val="none"/>
        <c:tickLblPos val="nextTo"/>
        <c:crossAx val="15184512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Mar98</b:Tag>
    <b:SourceType>Book</b:SourceType>
    <b:Guid>{53E5215C-567B-4204-93AE-2980DCC3B225}</b:Guid>
    <b:Author>
      <b:Author>
        <b:NameList>
          <b:Person>
            <b:Last>Scheffer</b:Last>
            <b:First>Martin</b:First>
          </b:Person>
        </b:NameList>
      </b:Author>
    </b:Author>
    <b:Title>Ecology of Shallow Lakes</b:Title>
    <b:Year>1998</b:Year>
    <b:City>London</b:City>
    <b:Publisher>Chapman &amp; Hall</b:Publisher>
    <b:RefOrder>1</b:RefOrder>
  </b:Source>
  <b:Source>
    <b:Tag>Wet01</b:Tag>
    <b:SourceType>Book</b:SourceType>
    <b:Guid>{2AA1B580-6700-4CAD-845C-C6BC309D7FFF}</b:Guid>
    <b:Author>
      <b:Author>
        <b:NameList>
          <b:Person>
            <b:Last>Wetzel</b:Last>
            <b:First>Robert</b:First>
            <b:Middle>G.</b:Middle>
          </b:Person>
        </b:NameList>
      </b:Author>
    </b:Author>
    <b:Title>Limnology Lake and River Ecosystems Third Edition</b:Title>
    <b:Year>2001</b:Year>
    <b:Publisher>Academic Press</b:Publisher>
    <b:City>San Diego, California</b:City>
    <b:RefOrder>2</b:RefOrder>
  </b:Source>
  <b:Source>
    <b:Tag>Kai02</b:Tag>
    <b:SourceType>JournalArticle</b:SourceType>
    <b:Guid>{675995A3-332F-4280-9E26-FC47126C94F5}</b:Guid>
    <b:Author>
      <b:Author>
        <b:Corporate>Kaiserli, A., Voutsa, D., and Samara, C.</b:Corporate>
      </b:Author>
    </b:Author>
    <b:Title>Phosphorus Fractionation in Lake Sediments--Lakes Vovi and Koronia, N. Greece</b:Title>
    <b:JournalName>Chemosphere</b:JournalName>
    <b:Year>2002</b:Year>
    <b:Pages>1147-1155</b:Pages>
    <b:Volume>46</b:Volume>
    <b:RefOrder>3</b:RefOrder>
  </b:Source>
  <b:Source>
    <b:Tag>Gon98</b:Tag>
    <b:SourceType>JournalArticle</b:SourceType>
    <b:Guid>{A27CFCE0-F62D-4873-A593-36D2175049C6}</b:Guid>
    <b:Author>
      <b:Author>
        <b:Corporate>Gonsiorczyk, T., Casper, P., and Koschel, R.</b:Corporate>
      </b:Author>
    </b:Author>
    <b:Title>Phosphorus-Binding Forms in the Sediment of an Oligotrophic and an Eutrophic Hardwater Lake of the Baltic Lake District (Germany)</b:Title>
    <b:Year>1998</b:Year>
    <b:JournalName>Wat. Sci. Tech.</b:JournalName>
    <b:Pages>51-58</b:Pages>
    <b:Volume>37</b:Volume>
    <b:Issue>3</b:Issue>
    <b:RefOrder>4</b:RefOrder>
  </b:Source>
</b:Sources>
</file>

<file path=customXml/itemProps1.xml><?xml version="1.0" encoding="utf-8"?>
<ds:datastoreItem xmlns:ds="http://schemas.openxmlformats.org/officeDocument/2006/customXml" ds:itemID="{C06B71C8-92A4-4151-9997-71DD8780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Polk County Government</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Williamson</dc:creator>
  <cp:lastModifiedBy>Cheryl</cp:lastModifiedBy>
  <cp:revision>2</cp:revision>
  <cp:lastPrinted>2016-12-27T17:47:00Z</cp:lastPrinted>
  <dcterms:created xsi:type="dcterms:W3CDTF">2017-02-24T21:30:00Z</dcterms:created>
  <dcterms:modified xsi:type="dcterms:W3CDTF">2017-02-24T21:30:00Z</dcterms:modified>
</cp:coreProperties>
</file>