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F1880" w:rsidRPr="002D3543" w:rsidRDefault="00EF1880" w:rsidP="00EF1880">
      <w:pPr>
        <w:rPr>
          <w:rFonts w:asciiTheme="majorHAnsi" w:hAnsiTheme="majorHAnsi"/>
        </w:rPr>
      </w:pPr>
      <w:bookmarkStart w:id="0" w:name="_Toc455480564"/>
      <w:r w:rsidRPr="002D3543">
        <w:rPr>
          <w:rStyle w:val="Heading1Char"/>
          <w:rFonts w:asciiTheme="majorHAnsi" w:hAnsiTheme="majorHAnsi"/>
          <w:smallCaps w:val="0"/>
        </w:rPr>
        <w:t>Watershed and Lake Modeling</w:t>
      </w:r>
      <w:bookmarkEnd w:id="0"/>
      <w:r w:rsidRPr="002D3543">
        <w:rPr>
          <w:rFonts w:asciiTheme="majorHAnsi" w:hAnsiTheme="majorHAnsi"/>
        </w:rPr>
        <w:t xml:space="preserve"> </w:t>
      </w:r>
      <w:r w:rsidRPr="002D3543">
        <w:rPr>
          <w:rFonts w:asciiTheme="majorHAnsi" w:hAnsiTheme="majorHAnsi"/>
        </w:rPr>
        <w:br/>
      </w:r>
      <w:proofErr w:type="gramStart"/>
      <w:r w:rsidRPr="002D3543">
        <w:rPr>
          <w:rFonts w:asciiTheme="majorHAnsi" w:hAnsiTheme="majorHAnsi"/>
        </w:rPr>
        <w:t>The</w:t>
      </w:r>
      <w:proofErr w:type="gramEnd"/>
      <w:r w:rsidRPr="002D3543">
        <w:rPr>
          <w:rFonts w:asciiTheme="majorHAnsi" w:hAnsiTheme="majorHAnsi"/>
        </w:rPr>
        <w:t xml:space="preserve"> Wisconsin Lake Modeling Suite (WiLMS) was used to model current conditions for </w:t>
      </w:r>
      <w:r>
        <w:rPr>
          <w:rFonts w:asciiTheme="majorHAnsi" w:hAnsiTheme="majorHAnsi"/>
        </w:rPr>
        <w:t xml:space="preserve">Big Blake </w:t>
      </w:r>
      <w:r w:rsidRPr="002D3543">
        <w:rPr>
          <w:rFonts w:asciiTheme="majorHAnsi" w:hAnsiTheme="majorHAnsi"/>
        </w:rPr>
        <w:t xml:space="preserve">Lake, verify monitoring, and estimate land use nutrient loading for the watershed.  Phosphorus is the key parameter in the modeling scenarios used in WiLMS because it is the limiting nutrient for algal growth in most lakes.  </w:t>
      </w:r>
    </w:p>
    <w:p w:rsidR="00EF1880" w:rsidRDefault="00EF1880" w:rsidP="00EF1880">
      <w:pPr>
        <w:rPr>
          <w:rFonts w:asciiTheme="majorHAnsi" w:hAnsiTheme="majorHAnsi"/>
        </w:rPr>
      </w:pPr>
      <w:r w:rsidRPr="002D3543">
        <w:rPr>
          <w:rFonts w:asciiTheme="majorHAnsi" w:hAnsiTheme="majorHAnsi" w:cs="Arial"/>
        </w:rPr>
        <w:t>Based on average evaporation, precipitation, and runoff coefficients for Polk County soils and land use</w:t>
      </w:r>
      <w:r w:rsidR="003309B9">
        <w:rPr>
          <w:rFonts w:asciiTheme="majorHAnsi" w:hAnsiTheme="majorHAnsi" w:cs="Arial"/>
        </w:rPr>
        <w:t>,</w:t>
      </w:r>
      <w:r w:rsidRPr="002D3543">
        <w:rPr>
          <w:rFonts w:asciiTheme="majorHAnsi" w:hAnsiTheme="majorHAnsi"/>
        </w:rPr>
        <w:t xml:space="preserve"> WiLMS determined the annual nonpoint sourc</w:t>
      </w:r>
      <w:r>
        <w:rPr>
          <w:rFonts w:asciiTheme="majorHAnsi" w:hAnsiTheme="majorHAnsi"/>
        </w:rPr>
        <w:t>e load of phosphorus to Big Blake</w:t>
      </w:r>
      <w:r w:rsidRPr="002D3543">
        <w:rPr>
          <w:rFonts w:asciiTheme="majorHAnsi" w:hAnsiTheme="majorHAnsi"/>
        </w:rPr>
        <w:t xml:space="preserve"> Lake as </w:t>
      </w:r>
      <w:r>
        <w:rPr>
          <w:rFonts w:asciiTheme="majorHAnsi" w:hAnsiTheme="majorHAnsi"/>
        </w:rPr>
        <w:t>7</w:t>
      </w:r>
      <w:r w:rsidR="003309B9">
        <w:rPr>
          <w:rFonts w:asciiTheme="majorHAnsi" w:hAnsiTheme="majorHAnsi"/>
        </w:rPr>
        <w:t>,</w:t>
      </w:r>
      <w:r>
        <w:rPr>
          <w:rFonts w:asciiTheme="majorHAnsi" w:hAnsiTheme="majorHAnsi"/>
        </w:rPr>
        <w:t>432 kilograms per year (16,380 pounds), the direct drainage to the lake minus the tributaries was calculated to be 132 kilograms per year (291 pounds)</w:t>
      </w:r>
      <w:r w:rsidRPr="002D3543">
        <w:rPr>
          <w:rFonts w:asciiTheme="majorHAnsi" w:hAnsiTheme="majorHAnsi"/>
        </w:rPr>
        <w:t xml:space="preserve">. </w:t>
      </w:r>
    </w:p>
    <w:tbl>
      <w:tblPr>
        <w:tblStyle w:val="LightList-Accent1"/>
        <w:tblW w:w="3680" w:type="dxa"/>
        <w:tblLook w:val="04A0" w:firstRow="1" w:lastRow="0" w:firstColumn="1" w:lastColumn="0" w:noHBand="0" w:noVBand="1"/>
      </w:tblPr>
      <w:tblGrid>
        <w:gridCol w:w="2397"/>
        <w:gridCol w:w="1283"/>
      </w:tblGrid>
      <w:tr w:rsidR="00EF1880" w:rsidRPr="00EF1880" w:rsidTr="00315B01">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680" w:type="dxa"/>
            <w:gridSpan w:val="2"/>
            <w:noWrap/>
            <w:hideMark/>
          </w:tcPr>
          <w:p w:rsidR="00EF1880" w:rsidRPr="00EF1880" w:rsidRDefault="00EF1880" w:rsidP="00EF1880">
            <w:pPr>
              <w:rPr>
                <w:rFonts w:ascii="Calibri" w:eastAsia="Times New Roman" w:hAnsi="Calibri" w:cs="Times New Roman"/>
                <w:color w:val="000000"/>
              </w:rPr>
            </w:pPr>
            <w:r>
              <w:rPr>
                <w:noProof/>
              </w:rPr>
              <w:drawing>
                <wp:anchor distT="0" distB="0" distL="114300" distR="114300" simplePos="0" relativeHeight="251658240" behindDoc="0" locked="0" layoutInCell="1" allowOverlap="1" wp14:anchorId="1CC5EF13" wp14:editId="70718058">
                  <wp:simplePos x="0" y="0"/>
                  <wp:positionH relativeFrom="column">
                    <wp:posOffset>2486025</wp:posOffset>
                  </wp:positionH>
                  <wp:positionV relativeFrom="paragraph">
                    <wp:posOffset>101600</wp:posOffset>
                  </wp:positionV>
                  <wp:extent cx="3781425" cy="2466975"/>
                  <wp:effectExtent l="0" t="0" r="0" b="0"/>
                  <wp:wrapNone/>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14:sizeRelH relativeFrom="page">
                    <wp14:pctWidth>0</wp14:pctWidth>
                  </wp14:sizeRelH>
                  <wp14:sizeRelV relativeFrom="page">
                    <wp14:pctHeight>0</wp14:pctHeight>
                  </wp14:sizeRelV>
                </wp:anchor>
              </w:drawing>
            </w:r>
            <w:r w:rsidRPr="00EF1880">
              <w:rPr>
                <w:rFonts w:ascii="Calibri" w:eastAsia="Times New Roman" w:hAnsi="Calibri" w:cs="Times New Roman"/>
                <w:color w:val="000000"/>
              </w:rPr>
              <w:t>Big Blake Lake Nutrient Budget</w:t>
            </w:r>
          </w:p>
        </w:tc>
      </w:tr>
      <w:tr w:rsidR="00EF1880" w:rsidRPr="00EF1880" w:rsidTr="00315B0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397" w:type="dxa"/>
            <w:noWrap/>
            <w:hideMark/>
          </w:tcPr>
          <w:p w:rsidR="00EF1880" w:rsidRPr="00EF1880" w:rsidRDefault="00EF1880" w:rsidP="00EF1880">
            <w:pPr>
              <w:rPr>
                <w:rFonts w:ascii="Calibri" w:eastAsia="Times New Roman" w:hAnsi="Calibri" w:cs="Times New Roman"/>
                <w:color w:val="000000"/>
              </w:rPr>
            </w:pPr>
            <w:r w:rsidRPr="00EF1880">
              <w:rPr>
                <w:rFonts w:ascii="Calibri" w:eastAsia="Times New Roman" w:hAnsi="Calibri" w:cs="Times New Roman"/>
                <w:color w:val="000000"/>
              </w:rPr>
              <w:t>Source</w:t>
            </w:r>
          </w:p>
        </w:tc>
        <w:tc>
          <w:tcPr>
            <w:tcW w:w="1283" w:type="dxa"/>
            <w:noWrap/>
            <w:hideMark/>
          </w:tcPr>
          <w:p w:rsidR="00EF1880" w:rsidRPr="00EF1880" w:rsidRDefault="00EF1880" w:rsidP="00EF1880">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color w:val="000000"/>
              </w:rPr>
            </w:pPr>
            <w:r w:rsidRPr="00EF1880">
              <w:rPr>
                <w:rFonts w:ascii="Calibri" w:eastAsia="Times New Roman" w:hAnsi="Calibri" w:cs="Times New Roman"/>
                <w:b/>
                <w:bCs/>
                <w:color w:val="000000"/>
              </w:rPr>
              <w:t>P Load kg/yr</w:t>
            </w:r>
          </w:p>
        </w:tc>
      </w:tr>
      <w:tr w:rsidR="00EF1880" w:rsidRPr="00EF1880" w:rsidTr="00315B01">
        <w:trPr>
          <w:trHeight w:val="300"/>
        </w:trPr>
        <w:tc>
          <w:tcPr>
            <w:cnfStyle w:val="001000000000" w:firstRow="0" w:lastRow="0" w:firstColumn="1" w:lastColumn="0" w:oddVBand="0" w:evenVBand="0" w:oddHBand="0" w:evenHBand="0" w:firstRowFirstColumn="0" w:firstRowLastColumn="0" w:lastRowFirstColumn="0" w:lastRowLastColumn="0"/>
            <w:tcW w:w="2397" w:type="dxa"/>
            <w:noWrap/>
            <w:hideMark/>
          </w:tcPr>
          <w:p w:rsidR="00EF1880" w:rsidRPr="00EF1880" w:rsidRDefault="00EF1880" w:rsidP="00EF1880">
            <w:pPr>
              <w:rPr>
                <w:rFonts w:ascii="Calibri" w:eastAsia="Times New Roman" w:hAnsi="Calibri" w:cs="Times New Roman"/>
                <w:color w:val="000000"/>
              </w:rPr>
            </w:pPr>
            <w:r w:rsidRPr="00EF1880">
              <w:rPr>
                <w:rFonts w:ascii="Calibri" w:eastAsia="Times New Roman" w:hAnsi="Calibri" w:cs="Times New Roman"/>
                <w:color w:val="000000"/>
              </w:rPr>
              <w:t>Row Crop</w:t>
            </w:r>
          </w:p>
        </w:tc>
        <w:tc>
          <w:tcPr>
            <w:tcW w:w="1283" w:type="dxa"/>
            <w:noWrap/>
            <w:hideMark/>
          </w:tcPr>
          <w:p w:rsidR="00EF1880" w:rsidRPr="00EF1880" w:rsidRDefault="00EF1880" w:rsidP="00EF188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EF1880">
              <w:rPr>
                <w:rFonts w:ascii="Calibri" w:eastAsia="Times New Roman" w:hAnsi="Calibri" w:cs="Times New Roman"/>
                <w:color w:val="000000"/>
              </w:rPr>
              <w:t>50</w:t>
            </w:r>
          </w:p>
        </w:tc>
      </w:tr>
      <w:tr w:rsidR="00EF1880" w:rsidRPr="00EF1880" w:rsidTr="00315B0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397" w:type="dxa"/>
            <w:noWrap/>
            <w:hideMark/>
          </w:tcPr>
          <w:p w:rsidR="00EF1880" w:rsidRPr="00EF1880" w:rsidRDefault="00EF1880" w:rsidP="00EF1880">
            <w:pPr>
              <w:rPr>
                <w:rFonts w:ascii="Calibri" w:eastAsia="Times New Roman" w:hAnsi="Calibri" w:cs="Times New Roman"/>
                <w:color w:val="000000"/>
              </w:rPr>
            </w:pPr>
            <w:r w:rsidRPr="00EF1880">
              <w:rPr>
                <w:rFonts w:ascii="Calibri" w:eastAsia="Times New Roman" w:hAnsi="Calibri" w:cs="Times New Roman"/>
                <w:color w:val="000000"/>
              </w:rPr>
              <w:t>Pasture/Grass</w:t>
            </w:r>
          </w:p>
        </w:tc>
        <w:tc>
          <w:tcPr>
            <w:tcW w:w="1283" w:type="dxa"/>
            <w:noWrap/>
            <w:hideMark/>
          </w:tcPr>
          <w:p w:rsidR="00EF1880" w:rsidRPr="00EF1880" w:rsidRDefault="00EF1880" w:rsidP="00EF188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sidRPr="00EF1880">
              <w:rPr>
                <w:rFonts w:ascii="Calibri" w:eastAsia="Times New Roman" w:hAnsi="Calibri" w:cs="Times New Roman"/>
                <w:color w:val="000000"/>
              </w:rPr>
              <w:t>5</w:t>
            </w:r>
          </w:p>
        </w:tc>
      </w:tr>
      <w:tr w:rsidR="00EF1880" w:rsidRPr="00EF1880" w:rsidTr="00315B01">
        <w:trPr>
          <w:trHeight w:val="300"/>
        </w:trPr>
        <w:tc>
          <w:tcPr>
            <w:cnfStyle w:val="001000000000" w:firstRow="0" w:lastRow="0" w:firstColumn="1" w:lastColumn="0" w:oddVBand="0" w:evenVBand="0" w:oddHBand="0" w:evenHBand="0" w:firstRowFirstColumn="0" w:firstRowLastColumn="0" w:lastRowFirstColumn="0" w:lastRowLastColumn="0"/>
            <w:tcW w:w="2397" w:type="dxa"/>
            <w:noWrap/>
            <w:hideMark/>
          </w:tcPr>
          <w:p w:rsidR="00EF1880" w:rsidRPr="00EF1880" w:rsidRDefault="00EF1880" w:rsidP="00EF1880">
            <w:pPr>
              <w:rPr>
                <w:rFonts w:ascii="Calibri" w:eastAsia="Times New Roman" w:hAnsi="Calibri" w:cs="Times New Roman"/>
                <w:color w:val="000000"/>
              </w:rPr>
            </w:pPr>
            <w:r w:rsidRPr="00EF1880">
              <w:rPr>
                <w:rFonts w:ascii="Calibri" w:eastAsia="Times New Roman" w:hAnsi="Calibri" w:cs="Times New Roman"/>
                <w:color w:val="000000"/>
              </w:rPr>
              <w:t>Residential</w:t>
            </w:r>
          </w:p>
        </w:tc>
        <w:tc>
          <w:tcPr>
            <w:tcW w:w="1283" w:type="dxa"/>
            <w:noWrap/>
            <w:hideMark/>
          </w:tcPr>
          <w:p w:rsidR="00EF1880" w:rsidRPr="00EF1880" w:rsidRDefault="00EF1880" w:rsidP="00EF188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EF1880">
              <w:rPr>
                <w:rFonts w:ascii="Calibri" w:eastAsia="Times New Roman" w:hAnsi="Calibri" w:cs="Times New Roman"/>
                <w:color w:val="000000"/>
              </w:rPr>
              <w:t>23</w:t>
            </w:r>
          </w:p>
        </w:tc>
      </w:tr>
      <w:tr w:rsidR="00EF1880" w:rsidRPr="00EF1880" w:rsidTr="00315B0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397" w:type="dxa"/>
            <w:noWrap/>
            <w:hideMark/>
          </w:tcPr>
          <w:p w:rsidR="00EF1880" w:rsidRPr="00EF1880" w:rsidRDefault="00EF1880" w:rsidP="00EF1880">
            <w:pPr>
              <w:rPr>
                <w:rFonts w:ascii="Calibri" w:eastAsia="Times New Roman" w:hAnsi="Calibri" w:cs="Times New Roman"/>
                <w:color w:val="000000"/>
              </w:rPr>
            </w:pPr>
            <w:r w:rsidRPr="00EF1880">
              <w:rPr>
                <w:rFonts w:ascii="Calibri" w:eastAsia="Times New Roman" w:hAnsi="Calibri" w:cs="Times New Roman"/>
                <w:color w:val="000000"/>
              </w:rPr>
              <w:t>Rural Residential</w:t>
            </w:r>
          </w:p>
        </w:tc>
        <w:tc>
          <w:tcPr>
            <w:tcW w:w="1283" w:type="dxa"/>
            <w:noWrap/>
            <w:hideMark/>
          </w:tcPr>
          <w:p w:rsidR="00EF1880" w:rsidRPr="00EF1880" w:rsidRDefault="00EF1880" w:rsidP="00EF188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sidRPr="00EF1880">
              <w:rPr>
                <w:rFonts w:ascii="Calibri" w:eastAsia="Times New Roman" w:hAnsi="Calibri" w:cs="Times New Roman"/>
                <w:color w:val="000000"/>
              </w:rPr>
              <w:t>2</w:t>
            </w:r>
          </w:p>
        </w:tc>
      </w:tr>
      <w:tr w:rsidR="00EF1880" w:rsidRPr="00EF1880" w:rsidTr="00315B01">
        <w:trPr>
          <w:trHeight w:val="300"/>
        </w:trPr>
        <w:tc>
          <w:tcPr>
            <w:cnfStyle w:val="001000000000" w:firstRow="0" w:lastRow="0" w:firstColumn="1" w:lastColumn="0" w:oddVBand="0" w:evenVBand="0" w:oddHBand="0" w:evenHBand="0" w:firstRowFirstColumn="0" w:firstRowLastColumn="0" w:lastRowFirstColumn="0" w:lastRowLastColumn="0"/>
            <w:tcW w:w="2397" w:type="dxa"/>
            <w:noWrap/>
            <w:hideMark/>
          </w:tcPr>
          <w:p w:rsidR="00EF1880" w:rsidRPr="00EF1880" w:rsidRDefault="00EF1880" w:rsidP="00EF1880">
            <w:pPr>
              <w:rPr>
                <w:rFonts w:ascii="Calibri" w:eastAsia="Times New Roman" w:hAnsi="Calibri" w:cs="Times New Roman"/>
                <w:color w:val="000000"/>
              </w:rPr>
            </w:pPr>
            <w:r w:rsidRPr="00EF1880">
              <w:rPr>
                <w:rFonts w:ascii="Calibri" w:eastAsia="Times New Roman" w:hAnsi="Calibri" w:cs="Times New Roman"/>
                <w:color w:val="000000"/>
              </w:rPr>
              <w:t>Roads</w:t>
            </w:r>
          </w:p>
        </w:tc>
        <w:tc>
          <w:tcPr>
            <w:tcW w:w="1283" w:type="dxa"/>
            <w:noWrap/>
            <w:hideMark/>
          </w:tcPr>
          <w:p w:rsidR="00EF1880" w:rsidRPr="00EF1880" w:rsidRDefault="00EF1880" w:rsidP="00EF188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EF1880">
              <w:rPr>
                <w:rFonts w:ascii="Calibri" w:eastAsia="Times New Roman" w:hAnsi="Calibri" w:cs="Times New Roman"/>
                <w:color w:val="000000"/>
              </w:rPr>
              <w:t>12</w:t>
            </w:r>
          </w:p>
        </w:tc>
      </w:tr>
      <w:tr w:rsidR="00EF1880" w:rsidRPr="00EF1880" w:rsidTr="00315B0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397" w:type="dxa"/>
            <w:noWrap/>
            <w:hideMark/>
          </w:tcPr>
          <w:p w:rsidR="00EF1880" w:rsidRPr="00EF1880" w:rsidRDefault="00EF1880" w:rsidP="00EF1880">
            <w:pPr>
              <w:rPr>
                <w:rFonts w:ascii="Calibri" w:eastAsia="Times New Roman" w:hAnsi="Calibri" w:cs="Times New Roman"/>
                <w:color w:val="000000"/>
              </w:rPr>
            </w:pPr>
            <w:r w:rsidRPr="00EF1880">
              <w:rPr>
                <w:rFonts w:ascii="Calibri" w:eastAsia="Times New Roman" w:hAnsi="Calibri" w:cs="Times New Roman"/>
                <w:color w:val="000000"/>
              </w:rPr>
              <w:t>Wetland</w:t>
            </w:r>
          </w:p>
        </w:tc>
        <w:tc>
          <w:tcPr>
            <w:tcW w:w="1283" w:type="dxa"/>
            <w:noWrap/>
            <w:hideMark/>
          </w:tcPr>
          <w:p w:rsidR="00EF1880" w:rsidRPr="00EF1880" w:rsidRDefault="00EF1880" w:rsidP="00EF188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sidRPr="00EF1880">
              <w:rPr>
                <w:rFonts w:ascii="Calibri" w:eastAsia="Times New Roman" w:hAnsi="Calibri" w:cs="Times New Roman"/>
                <w:color w:val="000000"/>
              </w:rPr>
              <w:t>1</w:t>
            </w:r>
          </w:p>
        </w:tc>
      </w:tr>
      <w:tr w:rsidR="00EF1880" w:rsidRPr="00EF1880" w:rsidTr="00315B01">
        <w:trPr>
          <w:trHeight w:val="300"/>
        </w:trPr>
        <w:tc>
          <w:tcPr>
            <w:cnfStyle w:val="001000000000" w:firstRow="0" w:lastRow="0" w:firstColumn="1" w:lastColumn="0" w:oddVBand="0" w:evenVBand="0" w:oddHBand="0" w:evenHBand="0" w:firstRowFirstColumn="0" w:firstRowLastColumn="0" w:lastRowFirstColumn="0" w:lastRowLastColumn="0"/>
            <w:tcW w:w="2397" w:type="dxa"/>
            <w:noWrap/>
            <w:hideMark/>
          </w:tcPr>
          <w:p w:rsidR="00EF1880" w:rsidRPr="00EF1880" w:rsidRDefault="00EF1880" w:rsidP="00EF1880">
            <w:pPr>
              <w:rPr>
                <w:rFonts w:ascii="Calibri" w:eastAsia="Times New Roman" w:hAnsi="Calibri" w:cs="Times New Roman"/>
                <w:color w:val="000000"/>
              </w:rPr>
            </w:pPr>
            <w:r w:rsidRPr="00EF1880">
              <w:rPr>
                <w:rFonts w:ascii="Calibri" w:eastAsia="Times New Roman" w:hAnsi="Calibri" w:cs="Times New Roman"/>
                <w:color w:val="000000"/>
              </w:rPr>
              <w:t>Forest</w:t>
            </w:r>
          </w:p>
        </w:tc>
        <w:tc>
          <w:tcPr>
            <w:tcW w:w="1283" w:type="dxa"/>
            <w:noWrap/>
            <w:hideMark/>
          </w:tcPr>
          <w:p w:rsidR="00EF1880" w:rsidRPr="00EF1880" w:rsidRDefault="00EF1880" w:rsidP="00EF188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EF1880">
              <w:rPr>
                <w:rFonts w:ascii="Calibri" w:eastAsia="Times New Roman" w:hAnsi="Calibri" w:cs="Times New Roman"/>
                <w:color w:val="000000"/>
              </w:rPr>
              <w:t>6</w:t>
            </w:r>
          </w:p>
        </w:tc>
      </w:tr>
      <w:tr w:rsidR="00EF1880" w:rsidRPr="00EF1880" w:rsidTr="00315B0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397" w:type="dxa"/>
            <w:noWrap/>
            <w:hideMark/>
          </w:tcPr>
          <w:p w:rsidR="00EF1880" w:rsidRPr="00EF1880" w:rsidRDefault="00EF1880" w:rsidP="00EF1880">
            <w:pPr>
              <w:rPr>
                <w:rFonts w:ascii="Calibri" w:eastAsia="Times New Roman" w:hAnsi="Calibri" w:cs="Times New Roman"/>
                <w:color w:val="000000"/>
              </w:rPr>
            </w:pPr>
            <w:r w:rsidRPr="00EF1880">
              <w:rPr>
                <w:rFonts w:ascii="Calibri" w:eastAsia="Times New Roman" w:hAnsi="Calibri" w:cs="Times New Roman"/>
                <w:color w:val="000000"/>
              </w:rPr>
              <w:t>Septic</w:t>
            </w:r>
          </w:p>
        </w:tc>
        <w:tc>
          <w:tcPr>
            <w:tcW w:w="1283" w:type="dxa"/>
            <w:noWrap/>
            <w:hideMark/>
          </w:tcPr>
          <w:p w:rsidR="00EF1880" w:rsidRPr="00EF1880" w:rsidRDefault="00EF1880" w:rsidP="00EF188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sidRPr="00EF1880">
              <w:rPr>
                <w:rFonts w:ascii="Calibri" w:eastAsia="Times New Roman" w:hAnsi="Calibri" w:cs="Times New Roman"/>
                <w:color w:val="000000"/>
              </w:rPr>
              <w:t>8.22</w:t>
            </w:r>
          </w:p>
        </w:tc>
      </w:tr>
      <w:tr w:rsidR="00EF1880" w:rsidRPr="00EF1880" w:rsidTr="00315B01">
        <w:trPr>
          <w:trHeight w:val="300"/>
        </w:trPr>
        <w:tc>
          <w:tcPr>
            <w:cnfStyle w:val="001000000000" w:firstRow="0" w:lastRow="0" w:firstColumn="1" w:lastColumn="0" w:oddVBand="0" w:evenVBand="0" w:oddHBand="0" w:evenHBand="0" w:firstRowFirstColumn="0" w:firstRowLastColumn="0" w:lastRowFirstColumn="0" w:lastRowLastColumn="0"/>
            <w:tcW w:w="2397" w:type="dxa"/>
            <w:noWrap/>
            <w:hideMark/>
          </w:tcPr>
          <w:p w:rsidR="00EF1880" w:rsidRPr="00EF1880" w:rsidRDefault="00EF1880" w:rsidP="00EF1880">
            <w:pPr>
              <w:rPr>
                <w:rFonts w:ascii="Calibri" w:eastAsia="Times New Roman" w:hAnsi="Calibri" w:cs="Times New Roman"/>
                <w:color w:val="000000"/>
              </w:rPr>
            </w:pPr>
            <w:r w:rsidRPr="00EF1880">
              <w:rPr>
                <w:rFonts w:ascii="Calibri" w:eastAsia="Times New Roman" w:hAnsi="Calibri" w:cs="Times New Roman"/>
                <w:color w:val="000000"/>
              </w:rPr>
              <w:t>Atmospheric Deposition</w:t>
            </w:r>
          </w:p>
        </w:tc>
        <w:tc>
          <w:tcPr>
            <w:tcW w:w="1283" w:type="dxa"/>
            <w:noWrap/>
            <w:hideMark/>
          </w:tcPr>
          <w:p w:rsidR="00EF1880" w:rsidRPr="00EF1880" w:rsidRDefault="00EF1880" w:rsidP="00EF188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EF1880">
              <w:rPr>
                <w:rFonts w:ascii="Calibri" w:eastAsia="Times New Roman" w:hAnsi="Calibri" w:cs="Times New Roman"/>
                <w:color w:val="000000"/>
              </w:rPr>
              <w:t>25</w:t>
            </w:r>
          </w:p>
        </w:tc>
      </w:tr>
      <w:tr w:rsidR="00EF1880" w:rsidRPr="00EF1880" w:rsidTr="00315B0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397" w:type="dxa"/>
            <w:noWrap/>
            <w:hideMark/>
          </w:tcPr>
          <w:p w:rsidR="00EF1880" w:rsidRPr="00EF1880" w:rsidRDefault="00EF1880" w:rsidP="00EF1880">
            <w:pPr>
              <w:rPr>
                <w:rFonts w:ascii="Calibri" w:eastAsia="Times New Roman" w:hAnsi="Calibri" w:cs="Times New Roman"/>
                <w:color w:val="000000"/>
              </w:rPr>
            </w:pPr>
            <w:r w:rsidRPr="00EF1880">
              <w:rPr>
                <w:rFonts w:ascii="Calibri" w:eastAsia="Times New Roman" w:hAnsi="Calibri" w:cs="Times New Roman"/>
                <w:color w:val="000000"/>
              </w:rPr>
              <w:t>Lost Creek</w:t>
            </w:r>
          </w:p>
        </w:tc>
        <w:tc>
          <w:tcPr>
            <w:tcW w:w="1283" w:type="dxa"/>
            <w:noWrap/>
            <w:hideMark/>
          </w:tcPr>
          <w:p w:rsidR="00EF1880" w:rsidRPr="00EF1880" w:rsidRDefault="00EF1880" w:rsidP="00EF188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sidRPr="00EF1880">
              <w:rPr>
                <w:rFonts w:ascii="Calibri" w:eastAsia="Times New Roman" w:hAnsi="Calibri" w:cs="Times New Roman"/>
                <w:color w:val="000000"/>
              </w:rPr>
              <w:t>1218.5</w:t>
            </w:r>
          </w:p>
        </w:tc>
      </w:tr>
      <w:tr w:rsidR="00EF1880" w:rsidRPr="00EF1880" w:rsidTr="00315B01">
        <w:trPr>
          <w:trHeight w:val="300"/>
        </w:trPr>
        <w:tc>
          <w:tcPr>
            <w:cnfStyle w:val="001000000000" w:firstRow="0" w:lastRow="0" w:firstColumn="1" w:lastColumn="0" w:oddVBand="0" w:evenVBand="0" w:oddHBand="0" w:evenHBand="0" w:firstRowFirstColumn="0" w:firstRowLastColumn="0" w:lastRowFirstColumn="0" w:lastRowLastColumn="0"/>
            <w:tcW w:w="2397" w:type="dxa"/>
            <w:noWrap/>
            <w:hideMark/>
          </w:tcPr>
          <w:p w:rsidR="00EF1880" w:rsidRPr="00EF1880" w:rsidRDefault="00EF1880" w:rsidP="00EF1880">
            <w:pPr>
              <w:rPr>
                <w:rFonts w:ascii="Calibri" w:eastAsia="Times New Roman" w:hAnsi="Calibri" w:cs="Times New Roman"/>
                <w:color w:val="000000"/>
              </w:rPr>
            </w:pPr>
            <w:r w:rsidRPr="00EF1880">
              <w:rPr>
                <w:rFonts w:ascii="Calibri" w:eastAsia="Times New Roman" w:hAnsi="Calibri" w:cs="Times New Roman"/>
                <w:color w:val="000000"/>
              </w:rPr>
              <w:t>Straight River</w:t>
            </w:r>
          </w:p>
        </w:tc>
        <w:tc>
          <w:tcPr>
            <w:tcW w:w="1283" w:type="dxa"/>
            <w:noWrap/>
            <w:hideMark/>
          </w:tcPr>
          <w:p w:rsidR="00EF1880" w:rsidRPr="00EF1880" w:rsidRDefault="00EF1880" w:rsidP="00EF188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EF1880">
              <w:rPr>
                <w:rFonts w:ascii="Calibri" w:eastAsia="Times New Roman" w:hAnsi="Calibri" w:cs="Times New Roman"/>
                <w:color w:val="000000"/>
              </w:rPr>
              <w:t>6081.2</w:t>
            </w:r>
          </w:p>
        </w:tc>
      </w:tr>
    </w:tbl>
    <w:p w:rsidR="00EF1880" w:rsidRPr="002D3543" w:rsidRDefault="00EF1880" w:rsidP="00EF1880">
      <w:pPr>
        <w:rPr>
          <w:rFonts w:asciiTheme="majorHAnsi" w:hAnsiTheme="majorHAnsi"/>
        </w:rPr>
      </w:pPr>
    </w:p>
    <w:p w:rsidR="004F0EC5" w:rsidRDefault="00200944">
      <w:r>
        <w:t>The land use for the entir</w:t>
      </w:r>
      <w:r w:rsidR="00214B5E">
        <w:t>e watershed was obtained from Pu</w:t>
      </w:r>
      <w:r>
        <w:t>rdue University Agricultural Biological Engineering Department’s Long Term Hydrologic Impact Analysis (L-THIA).  ArcGIS was then used to clip the subwatersheds of the basin and the direct drainage to the lake was modeled using in-situ phosphorus loading from the tributaries modeled as a point sources and the direct drainage land use.  Because the outlet of the lake was breeched in 2014 scenarios were modeled for the three years of the study with several different scenarios.</w:t>
      </w:r>
    </w:p>
    <w:p w:rsidR="006C22C2" w:rsidRDefault="006C22C2" w:rsidP="006C22C2">
      <w:pPr>
        <w:rPr>
          <w:noProof/>
        </w:rPr>
      </w:pPr>
      <w:r>
        <w:rPr>
          <w:noProof/>
        </w:rPr>
        <w:lastRenderedPageBreak/>
        <w:drawing>
          <wp:anchor distT="0" distB="0" distL="114300" distR="114300" simplePos="0" relativeHeight="251659264" behindDoc="0" locked="0" layoutInCell="1" allowOverlap="1" wp14:anchorId="6933818E" wp14:editId="77FE216A">
            <wp:simplePos x="0" y="0"/>
            <wp:positionH relativeFrom="column">
              <wp:posOffset>2876550</wp:posOffset>
            </wp:positionH>
            <wp:positionV relativeFrom="paragraph">
              <wp:posOffset>190500</wp:posOffset>
            </wp:positionV>
            <wp:extent cx="2171700" cy="2672862"/>
            <wp:effectExtent l="190500" t="190500" r="190500" b="184785"/>
            <wp:wrapNone/>
            <wp:docPr id="205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0" name="Picture 2"/>
                    <pic:cNvPicPr>
                      <a:picLocks noChangeAspect="1" noChangeArrowheads="1"/>
                    </pic:cNvPicPr>
                  </pic:nvPicPr>
                  <pic:blipFill rotWithShape="1">
                    <a:blip r:embed="rId6" cstate="print">
                      <a:extLst>
                        <a:ext uri="{28A0092B-C50C-407E-A947-70E740481C1C}">
                          <a14:useLocalDpi xmlns:a14="http://schemas.microsoft.com/office/drawing/2010/main" val="0"/>
                        </a:ext>
                      </a:extLst>
                    </a:blip>
                    <a:srcRect l="21490" r="15967"/>
                    <a:stretch/>
                  </pic:blipFill>
                  <pic:spPr bwMode="auto">
                    <a:xfrm>
                      <a:off x="0" y="0"/>
                      <a:ext cx="2171700" cy="2672862"/>
                    </a:xfrm>
                    <a:prstGeom prst="rect">
                      <a:avLst/>
                    </a:prstGeom>
                    <a:ln>
                      <a:noFill/>
                    </a:ln>
                    <a:effectLst>
                      <a:outerShdw blurRad="190500" algn="tl" rotWithShape="0">
                        <a:srgbClr val="000000">
                          <a:alpha val="70000"/>
                        </a:srgbClr>
                      </a:outerShdw>
                    </a:effectLst>
                    <a:extLst>
                      <a:ext uri="{909E8E84-426E-40DD-AFC4-6F175D3DCCD1}">
                        <a14:hiddenFill xmlns:a14="http://schemas.microsoft.com/office/drawing/2010/main">
                          <a:solidFill>
                            <a:schemeClr val="accent1"/>
                          </a:solidFill>
                        </a14:hiddenFill>
                      </a:ex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6C22C2">
        <w:rPr>
          <w:noProof/>
        </w:rPr>
        <w:drawing>
          <wp:inline distT="0" distB="0" distL="0" distR="0" wp14:anchorId="6B54D0DF" wp14:editId="2FDDF479">
            <wp:extent cx="2219325" cy="2694277"/>
            <wp:effectExtent l="190500" t="190500" r="180975" b="182880"/>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pic:cNvPicPr>
                  </pic:nvPicPr>
                  <pic:blipFill>
                    <a:blip r:embed="rId7">
                      <a:extLst>
                        <a:ext uri="{28A0092B-C50C-407E-A947-70E740481C1C}">
                          <a14:useLocalDpi xmlns:a14="http://schemas.microsoft.com/office/drawing/2010/main" val="0"/>
                        </a:ext>
                      </a:extLst>
                    </a:blip>
                    <a:stretch>
                      <a:fillRect/>
                    </a:stretch>
                  </pic:blipFill>
                  <pic:spPr>
                    <a:xfrm>
                      <a:off x="0" y="0"/>
                      <a:ext cx="2221947" cy="2697460"/>
                    </a:xfrm>
                    <a:prstGeom prst="rect">
                      <a:avLst/>
                    </a:prstGeom>
                    <a:ln>
                      <a:noFill/>
                    </a:ln>
                    <a:effectLst>
                      <a:outerShdw blurRad="190500" algn="tl" rotWithShape="0">
                        <a:srgbClr val="000000">
                          <a:alpha val="70000"/>
                        </a:srgbClr>
                      </a:outerShdw>
                    </a:effectLst>
                  </pic:spPr>
                </pic:pic>
              </a:graphicData>
            </a:graphic>
          </wp:inline>
        </w:drawing>
      </w:r>
      <w:r w:rsidRPr="006C22C2">
        <w:rPr>
          <w:noProof/>
        </w:rPr>
        <w:t xml:space="preserve"> </w:t>
      </w:r>
    </w:p>
    <w:p w:rsidR="006C22C2" w:rsidRPr="006C22C2" w:rsidRDefault="003309B9" w:rsidP="006C22C2">
      <w:pPr>
        <w:jc w:val="center"/>
        <w:rPr>
          <w:b/>
          <w:noProof/>
        </w:rPr>
      </w:pPr>
      <w:r>
        <w:rPr>
          <w:b/>
          <w:noProof/>
        </w:rPr>
        <w:t>L-THIA</w:t>
      </w:r>
      <w:r w:rsidR="006C22C2" w:rsidRPr="006C22C2">
        <w:rPr>
          <w:b/>
          <w:noProof/>
        </w:rPr>
        <w:t xml:space="preserve"> watershed vs. the direct drainage to Big Blake Lake</w:t>
      </w:r>
    </w:p>
    <w:p w:rsidR="004F0EC5" w:rsidRPr="002D3543" w:rsidRDefault="004F0EC5" w:rsidP="004F0EC5">
      <w:pPr>
        <w:rPr>
          <w:rFonts w:asciiTheme="majorHAnsi" w:hAnsiTheme="majorHAnsi" w:cs="Arial"/>
        </w:rPr>
      </w:pPr>
      <w:r w:rsidRPr="002D3543">
        <w:rPr>
          <w:rFonts w:asciiTheme="majorHAnsi" w:hAnsiTheme="majorHAnsi" w:cs="Arial"/>
        </w:rPr>
        <w:t xml:space="preserve">The internal load for </w:t>
      </w:r>
      <w:r>
        <w:rPr>
          <w:rFonts w:asciiTheme="majorHAnsi" w:hAnsiTheme="majorHAnsi" w:cs="Arial"/>
        </w:rPr>
        <w:t>Big Blake</w:t>
      </w:r>
      <w:r w:rsidRPr="002D3543">
        <w:rPr>
          <w:rFonts w:asciiTheme="majorHAnsi" w:hAnsiTheme="majorHAnsi" w:cs="Arial"/>
        </w:rPr>
        <w:t xml:space="preserve"> Lake was estimated using in-situ data and four methods were used to estimate internal loading.  </w:t>
      </w:r>
    </w:p>
    <w:p w:rsidR="00714818" w:rsidRDefault="004F0EC5" w:rsidP="004F0EC5">
      <w:pPr>
        <w:rPr>
          <w:rFonts w:asciiTheme="majorHAnsi" w:hAnsiTheme="majorHAnsi" w:cs="Arial"/>
        </w:rPr>
      </w:pPr>
      <w:r w:rsidRPr="002D3543">
        <w:rPr>
          <w:rFonts w:asciiTheme="majorHAnsi" w:hAnsiTheme="majorHAnsi" w:cs="Arial"/>
        </w:rPr>
        <w:t>The first method was a complete total phosphorus mass budget.  This method calculated</w:t>
      </w:r>
      <w:r>
        <w:rPr>
          <w:rFonts w:asciiTheme="majorHAnsi" w:hAnsiTheme="majorHAnsi" w:cs="Arial"/>
        </w:rPr>
        <w:t xml:space="preserve"> the </w:t>
      </w:r>
      <w:r w:rsidR="00167B01">
        <w:rPr>
          <w:rFonts w:asciiTheme="majorHAnsi" w:hAnsiTheme="majorHAnsi" w:cs="Arial"/>
        </w:rPr>
        <w:t xml:space="preserve">annual </w:t>
      </w:r>
      <w:r>
        <w:rPr>
          <w:rFonts w:asciiTheme="majorHAnsi" w:hAnsiTheme="majorHAnsi" w:cs="Arial"/>
        </w:rPr>
        <w:t xml:space="preserve">internal </w:t>
      </w:r>
      <w:r w:rsidR="00167B01">
        <w:rPr>
          <w:rFonts w:asciiTheme="majorHAnsi" w:hAnsiTheme="majorHAnsi" w:cs="Arial"/>
        </w:rPr>
        <w:t xml:space="preserve">phosphorus </w:t>
      </w:r>
      <w:r>
        <w:rPr>
          <w:rFonts w:asciiTheme="majorHAnsi" w:hAnsiTheme="majorHAnsi" w:cs="Arial"/>
        </w:rPr>
        <w:t xml:space="preserve">load </w:t>
      </w:r>
      <w:r w:rsidR="00167B01">
        <w:rPr>
          <w:rFonts w:asciiTheme="majorHAnsi" w:hAnsiTheme="majorHAnsi" w:cs="Arial"/>
        </w:rPr>
        <w:t xml:space="preserve">under the L-THIA scenario </w:t>
      </w:r>
      <w:r>
        <w:rPr>
          <w:rFonts w:asciiTheme="majorHAnsi" w:hAnsiTheme="majorHAnsi" w:cs="Arial"/>
        </w:rPr>
        <w:t xml:space="preserve">to be 149 kg (327 </w:t>
      </w:r>
      <w:r w:rsidR="0099795A">
        <w:rPr>
          <w:rFonts w:asciiTheme="majorHAnsi" w:hAnsiTheme="majorHAnsi" w:cs="Arial"/>
        </w:rPr>
        <w:t>lbs.</w:t>
      </w:r>
      <w:r>
        <w:rPr>
          <w:rFonts w:asciiTheme="majorHAnsi" w:hAnsiTheme="majorHAnsi" w:cs="Arial"/>
        </w:rPr>
        <w:t>)</w:t>
      </w:r>
      <w:r w:rsidRPr="002D3543">
        <w:rPr>
          <w:rFonts w:asciiTheme="majorHAnsi" w:hAnsiTheme="majorHAnsi" w:cs="Arial"/>
        </w:rPr>
        <w:t xml:space="preserve"> </w:t>
      </w:r>
      <w:r w:rsidR="00167B01">
        <w:rPr>
          <w:rFonts w:asciiTheme="majorHAnsi" w:hAnsiTheme="majorHAnsi" w:cs="Arial"/>
        </w:rPr>
        <w:t>in 2013</w:t>
      </w:r>
      <w:r w:rsidR="005C6A8B">
        <w:rPr>
          <w:rFonts w:asciiTheme="majorHAnsi" w:hAnsiTheme="majorHAnsi" w:cs="Arial"/>
        </w:rPr>
        <w:t xml:space="preserve">, -375 kg (-827 </w:t>
      </w:r>
      <w:proofErr w:type="spellStart"/>
      <w:r w:rsidR="0099795A">
        <w:rPr>
          <w:rFonts w:asciiTheme="majorHAnsi" w:hAnsiTheme="majorHAnsi" w:cs="Arial"/>
        </w:rPr>
        <w:t>lbs</w:t>
      </w:r>
      <w:proofErr w:type="spellEnd"/>
      <w:r w:rsidR="00810F10">
        <w:rPr>
          <w:rFonts w:asciiTheme="majorHAnsi" w:hAnsiTheme="majorHAnsi" w:cs="Arial"/>
        </w:rPr>
        <w:t xml:space="preserve">) </w:t>
      </w:r>
      <w:r w:rsidR="00167B01">
        <w:rPr>
          <w:rFonts w:asciiTheme="majorHAnsi" w:hAnsiTheme="majorHAnsi" w:cs="Arial"/>
        </w:rPr>
        <w:t>in 2014</w:t>
      </w:r>
      <w:r w:rsidR="005C6A8B">
        <w:rPr>
          <w:rFonts w:asciiTheme="majorHAnsi" w:hAnsiTheme="majorHAnsi" w:cs="Arial"/>
        </w:rPr>
        <w:t xml:space="preserve">, and </w:t>
      </w:r>
      <w:r w:rsidR="002249A1">
        <w:rPr>
          <w:rFonts w:asciiTheme="majorHAnsi" w:hAnsiTheme="majorHAnsi" w:cs="Arial"/>
        </w:rPr>
        <w:t xml:space="preserve">-311 kg (-686 lbs.) </w:t>
      </w:r>
      <w:r w:rsidR="00167B01">
        <w:rPr>
          <w:rFonts w:asciiTheme="majorHAnsi" w:hAnsiTheme="majorHAnsi" w:cs="Arial"/>
        </w:rPr>
        <w:t>in 2015</w:t>
      </w:r>
      <w:r w:rsidR="005C6A8B">
        <w:rPr>
          <w:rFonts w:asciiTheme="majorHAnsi" w:hAnsiTheme="majorHAnsi" w:cs="Arial"/>
        </w:rPr>
        <w:t xml:space="preserve">.  </w:t>
      </w:r>
      <w:r w:rsidR="00167B01">
        <w:rPr>
          <w:rFonts w:asciiTheme="majorHAnsi" w:hAnsiTheme="majorHAnsi" w:cs="Arial"/>
        </w:rPr>
        <w:t xml:space="preserve">The annual internal phosphorus load under the direct drainage scenario </w:t>
      </w:r>
      <w:r w:rsidR="005C6A8B">
        <w:rPr>
          <w:rFonts w:asciiTheme="majorHAnsi" w:hAnsiTheme="majorHAnsi" w:cs="Arial"/>
        </w:rPr>
        <w:t xml:space="preserve">was estimated to be </w:t>
      </w:r>
      <w:r>
        <w:rPr>
          <w:rFonts w:asciiTheme="majorHAnsi" w:hAnsiTheme="majorHAnsi" w:cs="Arial"/>
        </w:rPr>
        <w:t>3</w:t>
      </w:r>
      <w:r w:rsidR="00810F10">
        <w:rPr>
          <w:rFonts w:asciiTheme="majorHAnsi" w:hAnsiTheme="majorHAnsi" w:cs="Arial"/>
        </w:rPr>
        <w:t>,</w:t>
      </w:r>
      <w:r>
        <w:rPr>
          <w:rFonts w:asciiTheme="majorHAnsi" w:hAnsiTheme="majorHAnsi" w:cs="Arial"/>
        </w:rPr>
        <w:t>943 kg (8</w:t>
      </w:r>
      <w:r w:rsidR="00810F10">
        <w:rPr>
          <w:rFonts w:asciiTheme="majorHAnsi" w:hAnsiTheme="majorHAnsi" w:cs="Arial"/>
        </w:rPr>
        <w:t>,</w:t>
      </w:r>
      <w:r>
        <w:rPr>
          <w:rFonts w:asciiTheme="majorHAnsi" w:hAnsiTheme="majorHAnsi" w:cs="Arial"/>
        </w:rPr>
        <w:t xml:space="preserve">649 </w:t>
      </w:r>
      <w:r w:rsidR="0099795A">
        <w:rPr>
          <w:rFonts w:asciiTheme="majorHAnsi" w:hAnsiTheme="majorHAnsi" w:cs="Arial"/>
        </w:rPr>
        <w:t>lbs.</w:t>
      </w:r>
      <w:r>
        <w:rPr>
          <w:rFonts w:asciiTheme="majorHAnsi" w:hAnsiTheme="majorHAnsi" w:cs="Arial"/>
        </w:rPr>
        <w:t xml:space="preserve">) </w:t>
      </w:r>
      <w:r w:rsidR="00167B01">
        <w:rPr>
          <w:rFonts w:asciiTheme="majorHAnsi" w:hAnsiTheme="majorHAnsi" w:cs="Arial"/>
        </w:rPr>
        <w:t>in 2013,</w:t>
      </w:r>
      <w:r w:rsidR="005C6A8B">
        <w:rPr>
          <w:rFonts w:asciiTheme="majorHAnsi" w:hAnsiTheme="majorHAnsi" w:cs="Arial"/>
        </w:rPr>
        <w:t xml:space="preserve"> -2</w:t>
      </w:r>
      <w:r w:rsidR="00810F10">
        <w:rPr>
          <w:rFonts w:asciiTheme="majorHAnsi" w:hAnsiTheme="majorHAnsi" w:cs="Arial"/>
        </w:rPr>
        <w:t>,</w:t>
      </w:r>
      <w:r w:rsidR="005C6A8B">
        <w:rPr>
          <w:rFonts w:asciiTheme="majorHAnsi" w:hAnsiTheme="majorHAnsi" w:cs="Arial"/>
        </w:rPr>
        <w:t>350 kg (-5</w:t>
      </w:r>
      <w:r w:rsidR="00810F10">
        <w:rPr>
          <w:rFonts w:asciiTheme="majorHAnsi" w:hAnsiTheme="majorHAnsi" w:cs="Arial"/>
        </w:rPr>
        <w:t>,</w:t>
      </w:r>
      <w:r w:rsidR="005C6A8B">
        <w:rPr>
          <w:rFonts w:asciiTheme="majorHAnsi" w:hAnsiTheme="majorHAnsi" w:cs="Arial"/>
        </w:rPr>
        <w:t xml:space="preserve">181 </w:t>
      </w:r>
      <w:r w:rsidR="0099795A">
        <w:rPr>
          <w:rFonts w:asciiTheme="majorHAnsi" w:hAnsiTheme="majorHAnsi" w:cs="Arial"/>
        </w:rPr>
        <w:t>lbs.</w:t>
      </w:r>
      <w:r w:rsidR="005C6A8B">
        <w:rPr>
          <w:rFonts w:asciiTheme="majorHAnsi" w:hAnsiTheme="majorHAnsi" w:cs="Arial"/>
        </w:rPr>
        <w:t xml:space="preserve">) </w:t>
      </w:r>
      <w:r w:rsidR="00167B01">
        <w:rPr>
          <w:rFonts w:asciiTheme="majorHAnsi" w:hAnsiTheme="majorHAnsi" w:cs="Arial"/>
        </w:rPr>
        <w:t>in 2014</w:t>
      </w:r>
      <w:r w:rsidR="005C6A8B">
        <w:rPr>
          <w:rFonts w:asciiTheme="majorHAnsi" w:hAnsiTheme="majorHAnsi" w:cs="Arial"/>
        </w:rPr>
        <w:t>, and</w:t>
      </w:r>
      <w:r w:rsidR="002249A1">
        <w:rPr>
          <w:rFonts w:asciiTheme="majorHAnsi" w:hAnsiTheme="majorHAnsi" w:cs="Arial"/>
        </w:rPr>
        <w:t xml:space="preserve"> </w:t>
      </w:r>
      <w:r w:rsidR="00D94B97">
        <w:rPr>
          <w:rFonts w:asciiTheme="majorHAnsi" w:hAnsiTheme="majorHAnsi" w:cs="Arial"/>
        </w:rPr>
        <w:t>-2</w:t>
      </w:r>
      <w:r w:rsidR="00810F10">
        <w:rPr>
          <w:rFonts w:asciiTheme="majorHAnsi" w:hAnsiTheme="majorHAnsi" w:cs="Arial"/>
        </w:rPr>
        <w:t>,</w:t>
      </w:r>
      <w:r w:rsidR="00D94B97">
        <w:rPr>
          <w:rFonts w:asciiTheme="majorHAnsi" w:hAnsiTheme="majorHAnsi" w:cs="Arial"/>
        </w:rPr>
        <w:t xml:space="preserve">275 </w:t>
      </w:r>
      <w:proofErr w:type="gramStart"/>
      <w:r w:rsidR="00D94B97">
        <w:rPr>
          <w:rFonts w:asciiTheme="majorHAnsi" w:hAnsiTheme="majorHAnsi" w:cs="Arial"/>
        </w:rPr>
        <w:t>kg  (</w:t>
      </w:r>
      <w:proofErr w:type="gramEnd"/>
      <w:r w:rsidR="00D94B97">
        <w:rPr>
          <w:rFonts w:asciiTheme="majorHAnsi" w:hAnsiTheme="majorHAnsi" w:cs="Arial"/>
        </w:rPr>
        <w:t>-5</w:t>
      </w:r>
      <w:r w:rsidR="00810F10">
        <w:rPr>
          <w:rFonts w:asciiTheme="majorHAnsi" w:hAnsiTheme="majorHAnsi" w:cs="Arial"/>
        </w:rPr>
        <w:t>,</w:t>
      </w:r>
      <w:r w:rsidR="00D94B97">
        <w:rPr>
          <w:rFonts w:asciiTheme="majorHAnsi" w:hAnsiTheme="majorHAnsi" w:cs="Arial"/>
        </w:rPr>
        <w:t xml:space="preserve">016 lbs.) </w:t>
      </w:r>
      <w:r w:rsidR="00167B01">
        <w:rPr>
          <w:rFonts w:asciiTheme="majorHAnsi" w:hAnsiTheme="majorHAnsi" w:cs="Arial"/>
        </w:rPr>
        <w:t>in 2015</w:t>
      </w:r>
      <w:r w:rsidRPr="002D3543">
        <w:rPr>
          <w:rFonts w:asciiTheme="majorHAnsi" w:hAnsiTheme="majorHAnsi" w:cs="Arial"/>
        </w:rPr>
        <w:t>.</w:t>
      </w:r>
      <w:r w:rsidR="00167B01">
        <w:rPr>
          <w:rFonts w:asciiTheme="majorHAnsi" w:hAnsiTheme="majorHAnsi" w:cs="Arial"/>
        </w:rPr>
        <w:t xml:space="preserve">  </w:t>
      </w:r>
    </w:p>
    <w:p w:rsidR="004F0EC5" w:rsidRDefault="000E0DB3" w:rsidP="004F0EC5">
      <w:pPr>
        <w:rPr>
          <w:rFonts w:asciiTheme="majorHAnsi" w:hAnsiTheme="majorHAnsi" w:cs="Arial"/>
          <w:color w:val="222222"/>
          <w:shd w:val="clear" w:color="auto" w:fill="FFFFFF"/>
        </w:rPr>
      </w:pPr>
      <w:r w:rsidRPr="002D3543">
        <w:rPr>
          <w:rFonts w:asciiTheme="majorHAnsi" w:hAnsiTheme="majorHAnsi" w:cs="Arial"/>
          <w:color w:val="222222"/>
          <w:shd w:val="clear" w:color="auto" w:fill="FFFFFF"/>
        </w:rPr>
        <w:t>In the second method the internal load was estimated from growing season</w:t>
      </w:r>
      <w:r w:rsidRPr="002D3543">
        <w:rPr>
          <w:rFonts w:asciiTheme="majorHAnsi" w:hAnsiTheme="majorHAnsi" w:cs="Arial"/>
          <w:i/>
          <w:color w:val="222222"/>
          <w:shd w:val="clear" w:color="auto" w:fill="FFFFFF"/>
        </w:rPr>
        <w:t xml:space="preserve"> in situ </w:t>
      </w:r>
      <w:r w:rsidRPr="002D3543">
        <w:rPr>
          <w:rFonts w:asciiTheme="majorHAnsi" w:hAnsiTheme="majorHAnsi" w:cs="Arial"/>
          <w:color w:val="222222"/>
          <w:shd w:val="clear" w:color="auto" w:fill="FFFFFF"/>
        </w:rPr>
        <w:t xml:space="preserve">phosphorus increases.  This method </w:t>
      </w:r>
      <w:r w:rsidR="00322ED2">
        <w:rPr>
          <w:rFonts w:asciiTheme="majorHAnsi" w:hAnsiTheme="majorHAnsi" w:cs="Arial"/>
          <w:color w:val="222222"/>
          <w:shd w:val="clear" w:color="auto" w:fill="FFFFFF"/>
        </w:rPr>
        <w:t xml:space="preserve">estimated </w:t>
      </w:r>
      <w:r w:rsidR="00167B01">
        <w:rPr>
          <w:rFonts w:asciiTheme="majorHAnsi" w:hAnsiTheme="majorHAnsi" w:cs="Arial"/>
          <w:color w:val="222222"/>
          <w:shd w:val="clear" w:color="auto" w:fill="FFFFFF"/>
        </w:rPr>
        <w:t xml:space="preserve">a </w:t>
      </w:r>
      <w:r w:rsidR="00322ED2">
        <w:rPr>
          <w:rFonts w:asciiTheme="majorHAnsi" w:hAnsiTheme="majorHAnsi" w:cs="Arial"/>
          <w:color w:val="222222"/>
          <w:shd w:val="clear" w:color="auto" w:fill="FFFFFF"/>
        </w:rPr>
        <w:t xml:space="preserve">sediment release rate </w:t>
      </w:r>
      <w:r w:rsidR="005C6A8B">
        <w:rPr>
          <w:rFonts w:asciiTheme="majorHAnsi" w:hAnsiTheme="majorHAnsi" w:cs="Arial"/>
          <w:color w:val="222222"/>
          <w:shd w:val="clear" w:color="auto" w:fill="FFFFFF"/>
        </w:rPr>
        <w:t>of -</w:t>
      </w:r>
      <w:r w:rsidR="00322ED2">
        <w:rPr>
          <w:rFonts w:asciiTheme="majorHAnsi" w:hAnsiTheme="majorHAnsi" w:cs="Arial"/>
          <w:color w:val="222222"/>
          <w:shd w:val="clear" w:color="auto" w:fill="FFFFFF"/>
        </w:rPr>
        <w:t>2.8 mg/m</w:t>
      </w:r>
      <w:r w:rsidR="00322ED2" w:rsidRPr="000E0DB3">
        <w:rPr>
          <w:rFonts w:asciiTheme="majorHAnsi" w:hAnsiTheme="majorHAnsi" w:cs="Arial"/>
          <w:color w:val="222222"/>
          <w:shd w:val="clear" w:color="auto" w:fill="FFFFFF"/>
          <w:vertAlign w:val="superscript"/>
        </w:rPr>
        <w:t>2</w:t>
      </w:r>
      <w:r w:rsidR="00322ED2">
        <w:rPr>
          <w:rFonts w:asciiTheme="majorHAnsi" w:hAnsiTheme="majorHAnsi" w:cs="Arial"/>
          <w:color w:val="222222"/>
          <w:shd w:val="clear" w:color="auto" w:fill="FFFFFF"/>
        </w:rPr>
        <w:t>-day</w:t>
      </w:r>
      <w:r w:rsidR="005C6A8B">
        <w:rPr>
          <w:rFonts w:asciiTheme="majorHAnsi" w:hAnsiTheme="majorHAnsi" w:cs="Arial"/>
          <w:color w:val="222222"/>
          <w:shd w:val="clear" w:color="auto" w:fill="FFFFFF"/>
        </w:rPr>
        <w:t xml:space="preserve"> in 2013, 0.00 mg/m</w:t>
      </w:r>
      <w:r w:rsidR="005C6A8B" w:rsidRPr="000E0DB3">
        <w:rPr>
          <w:rFonts w:asciiTheme="majorHAnsi" w:hAnsiTheme="majorHAnsi" w:cs="Arial"/>
          <w:color w:val="222222"/>
          <w:shd w:val="clear" w:color="auto" w:fill="FFFFFF"/>
          <w:vertAlign w:val="superscript"/>
        </w:rPr>
        <w:t>2</w:t>
      </w:r>
      <w:r w:rsidR="005C6A8B">
        <w:rPr>
          <w:rFonts w:asciiTheme="majorHAnsi" w:hAnsiTheme="majorHAnsi" w:cs="Arial"/>
          <w:color w:val="222222"/>
          <w:shd w:val="clear" w:color="auto" w:fill="FFFFFF"/>
        </w:rPr>
        <w:t xml:space="preserve">-day in 2014, and </w:t>
      </w:r>
      <w:r w:rsidR="00D94B97">
        <w:rPr>
          <w:rFonts w:asciiTheme="majorHAnsi" w:hAnsiTheme="majorHAnsi" w:cs="Arial"/>
          <w:color w:val="222222"/>
          <w:shd w:val="clear" w:color="auto" w:fill="FFFFFF"/>
        </w:rPr>
        <w:t>1.9 mg/m</w:t>
      </w:r>
      <w:r w:rsidR="00D94B97" w:rsidRPr="000E0DB3">
        <w:rPr>
          <w:rFonts w:asciiTheme="majorHAnsi" w:hAnsiTheme="majorHAnsi" w:cs="Arial"/>
          <w:color w:val="222222"/>
          <w:shd w:val="clear" w:color="auto" w:fill="FFFFFF"/>
          <w:vertAlign w:val="superscript"/>
        </w:rPr>
        <w:t>2</w:t>
      </w:r>
      <w:r w:rsidR="00D94B97">
        <w:rPr>
          <w:rFonts w:asciiTheme="majorHAnsi" w:hAnsiTheme="majorHAnsi" w:cs="Arial"/>
          <w:color w:val="222222"/>
          <w:shd w:val="clear" w:color="auto" w:fill="FFFFFF"/>
        </w:rPr>
        <w:t>-day in 2015</w:t>
      </w:r>
      <w:r w:rsidR="00322ED2">
        <w:rPr>
          <w:rFonts w:asciiTheme="majorHAnsi" w:hAnsiTheme="majorHAnsi" w:cs="Arial"/>
          <w:color w:val="222222"/>
          <w:shd w:val="clear" w:color="auto" w:fill="FFFFFF"/>
        </w:rPr>
        <w:t xml:space="preserve">.   </w:t>
      </w:r>
      <w:r>
        <w:rPr>
          <w:rFonts w:asciiTheme="majorHAnsi" w:hAnsiTheme="majorHAnsi" w:cs="Arial"/>
          <w:color w:val="222222"/>
          <w:shd w:val="clear" w:color="auto" w:fill="FFFFFF"/>
        </w:rPr>
        <w:t xml:space="preserve">The </w:t>
      </w:r>
      <w:r w:rsidRPr="002D3543">
        <w:rPr>
          <w:rFonts w:asciiTheme="majorHAnsi" w:hAnsiTheme="majorHAnsi" w:cs="Arial"/>
          <w:color w:val="222222"/>
          <w:shd w:val="clear" w:color="auto" w:fill="FFFFFF"/>
        </w:rPr>
        <w:t xml:space="preserve">internal load </w:t>
      </w:r>
      <w:r>
        <w:rPr>
          <w:rFonts w:asciiTheme="majorHAnsi" w:hAnsiTheme="majorHAnsi" w:cs="Arial"/>
          <w:color w:val="222222"/>
          <w:shd w:val="clear" w:color="auto" w:fill="FFFFFF"/>
        </w:rPr>
        <w:t>was calculated</w:t>
      </w:r>
      <w:r w:rsidR="00322ED2">
        <w:rPr>
          <w:rFonts w:asciiTheme="majorHAnsi" w:hAnsiTheme="majorHAnsi" w:cs="Arial"/>
          <w:color w:val="222222"/>
          <w:shd w:val="clear" w:color="auto" w:fill="FFFFFF"/>
        </w:rPr>
        <w:t xml:space="preserve"> </w:t>
      </w:r>
      <w:r w:rsidR="00167B01" w:rsidRPr="002D3543">
        <w:rPr>
          <w:rFonts w:asciiTheme="majorHAnsi" w:hAnsiTheme="majorHAnsi" w:cs="Arial"/>
          <w:color w:val="222222"/>
          <w:shd w:val="clear" w:color="auto" w:fill="FFFFFF"/>
        </w:rPr>
        <w:t>annually</w:t>
      </w:r>
      <w:r w:rsidR="00167B01">
        <w:rPr>
          <w:rFonts w:asciiTheme="majorHAnsi" w:hAnsiTheme="majorHAnsi" w:cs="Arial"/>
          <w:color w:val="222222"/>
          <w:shd w:val="clear" w:color="auto" w:fill="FFFFFF"/>
        </w:rPr>
        <w:t xml:space="preserve"> in both the L-THIA and direct drainage </w:t>
      </w:r>
      <w:r w:rsidR="00167B01">
        <w:rPr>
          <w:rFonts w:asciiTheme="majorHAnsi" w:hAnsiTheme="majorHAnsi" w:cs="Arial"/>
          <w:color w:val="222222"/>
          <w:shd w:val="clear" w:color="auto" w:fill="FFFFFF"/>
        </w:rPr>
        <w:t xml:space="preserve">scenarios </w:t>
      </w:r>
      <w:r w:rsidRPr="002D3543">
        <w:rPr>
          <w:rFonts w:asciiTheme="majorHAnsi" w:hAnsiTheme="majorHAnsi" w:cs="Arial"/>
          <w:color w:val="222222"/>
          <w:shd w:val="clear" w:color="auto" w:fill="FFFFFF"/>
        </w:rPr>
        <w:t xml:space="preserve">to be </w:t>
      </w:r>
      <w:r>
        <w:rPr>
          <w:rFonts w:asciiTheme="majorHAnsi" w:hAnsiTheme="majorHAnsi" w:cs="Arial"/>
          <w:color w:val="222222"/>
          <w:shd w:val="clear" w:color="auto" w:fill="FFFFFF"/>
        </w:rPr>
        <w:t xml:space="preserve">-57 kg (-127 </w:t>
      </w:r>
      <w:r w:rsidR="0099795A">
        <w:rPr>
          <w:rFonts w:asciiTheme="majorHAnsi" w:hAnsiTheme="majorHAnsi" w:cs="Arial"/>
          <w:color w:val="222222"/>
          <w:shd w:val="clear" w:color="auto" w:fill="FFFFFF"/>
        </w:rPr>
        <w:t>lbs.</w:t>
      </w:r>
      <w:r>
        <w:rPr>
          <w:rFonts w:asciiTheme="majorHAnsi" w:hAnsiTheme="majorHAnsi" w:cs="Arial"/>
          <w:color w:val="222222"/>
          <w:shd w:val="clear" w:color="auto" w:fill="FFFFFF"/>
        </w:rPr>
        <w:t>)</w:t>
      </w:r>
      <w:r w:rsidRPr="002D3543">
        <w:rPr>
          <w:rFonts w:asciiTheme="majorHAnsi" w:hAnsiTheme="majorHAnsi" w:cs="Arial"/>
          <w:color w:val="222222"/>
          <w:shd w:val="clear" w:color="auto" w:fill="FFFFFF"/>
        </w:rPr>
        <w:t xml:space="preserve"> </w:t>
      </w:r>
      <w:r w:rsidR="00167B01">
        <w:rPr>
          <w:rFonts w:asciiTheme="majorHAnsi" w:hAnsiTheme="majorHAnsi" w:cs="Arial"/>
          <w:color w:val="222222"/>
          <w:shd w:val="clear" w:color="auto" w:fill="FFFFFF"/>
        </w:rPr>
        <w:t xml:space="preserve">in </w:t>
      </w:r>
      <w:r w:rsidR="005C6A8B">
        <w:rPr>
          <w:rFonts w:asciiTheme="majorHAnsi" w:hAnsiTheme="majorHAnsi" w:cs="Arial"/>
          <w:color w:val="222222"/>
          <w:shd w:val="clear" w:color="auto" w:fill="FFFFFF"/>
        </w:rPr>
        <w:t>2013, 0 kg (0</w:t>
      </w:r>
      <w:r w:rsidR="00045D2D">
        <w:rPr>
          <w:rFonts w:asciiTheme="majorHAnsi" w:hAnsiTheme="majorHAnsi" w:cs="Arial"/>
          <w:color w:val="222222"/>
          <w:shd w:val="clear" w:color="auto" w:fill="FFFFFF"/>
        </w:rPr>
        <w:t xml:space="preserve"> </w:t>
      </w:r>
      <w:proofErr w:type="spellStart"/>
      <w:r w:rsidR="005C6A8B">
        <w:rPr>
          <w:rFonts w:asciiTheme="majorHAnsi" w:hAnsiTheme="majorHAnsi" w:cs="Arial"/>
          <w:color w:val="222222"/>
          <w:shd w:val="clear" w:color="auto" w:fill="FFFFFF"/>
        </w:rPr>
        <w:t>lbs</w:t>
      </w:r>
      <w:proofErr w:type="spellEnd"/>
      <w:r w:rsidR="005C6A8B">
        <w:rPr>
          <w:rFonts w:asciiTheme="majorHAnsi" w:hAnsiTheme="majorHAnsi" w:cs="Arial"/>
          <w:color w:val="222222"/>
          <w:shd w:val="clear" w:color="auto" w:fill="FFFFFF"/>
        </w:rPr>
        <w:t xml:space="preserve">) </w:t>
      </w:r>
      <w:r w:rsidR="00167B01">
        <w:rPr>
          <w:rFonts w:asciiTheme="majorHAnsi" w:hAnsiTheme="majorHAnsi" w:cs="Arial"/>
          <w:color w:val="222222"/>
          <w:shd w:val="clear" w:color="auto" w:fill="FFFFFF"/>
        </w:rPr>
        <w:t xml:space="preserve">in </w:t>
      </w:r>
      <w:r w:rsidR="00167B01">
        <w:rPr>
          <w:rFonts w:asciiTheme="majorHAnsi" w:hAnsiTheme="majorHAnsi" w:cs="Arial"/>
          <w:color w:val="222222"/>
          <w:shd w:val="clear" w:color="auto" w:fill="FFFFFF"/>
        </w:rPr>
        <w:t>201</w:t>
      </w:r>
      <w:r w:rsidR="00167B01">
        <w:rPr>
          <w:rFonts w:asciiTheme="majorHAnsi" w:hAnsiTheme="majorHAnsi" w:cs="Arial"/>
          <w:color w:val="222222"/>
          <w:shd w:val="clear" w:color="auto" w:fill="FFFFFF"/>
        </w:rPr>
        <w:t>4</w:t>
      </w:r>
      <w:r w:rsidR="005C6A8B">
        <w:rPr>
          <w:rFonts w:asciiTheme="majorHAnsi" w:hAnsiTheme="majorHAnsi" w:cs="Arial"/>
          <w:color w:val="222222"/>
          <w:shd w:val="clear" w:color="auto" w:fill="FFFFFF"/>
        </w:rPr>
        <w:t xml:space="preserve">, and </w:t>
      </w:r>
      <w:r w:rsidR="00D94B97">
        <w:rPr>
          <w:rFonts w:asciiTheme="majorHAnsi" w:hAnsiTheme="majorHAnsi" w:cs="Arial"/>
          <w:color w:val="222222"/>
          <w:shd w:val="clear" w:color="auto" w:fill="FFFFFF"/>
        </w:rPr>
        <w:t xml:space="preserve">53 kg (117 lbs.) </w:t>
      </w:r>
      <w:r w:rsidR="00167B01">
        <w:rPr>
          <w:rFonts w:asciiTheme="majorHAnsi" w:hAnsiTheme="majorHAnsi" w:cs="Arial"/>
          <w:color w:val="222222"/>
          <w:shd w:val="clear" w:color="auto" w:fill="FFFFFF"/>
        </w:rPr>
        <w:t>in 2015</w:t>
      </w:r>
      <w:r w:rsidR="00322ED2">
        <w:rPr>
          <w:rFonts w:asciiTheme="majorHAnsi" w:hAnsiTheme="majorHAnsi" w:cs="Arial"/>
          <w:color w:val="222222"/>
          <w:shd w:val="clear" w:color="auto" w:fill="FFFFFF"/>
        </w:rPr>
        <w:t>.</w:t>
      </w:r>
    </w:p>
    <w:p w:rsidR="00322ED2" w:rsidRDefault="00322ED2" w:rsidP="00322ED2">
      <w:pPr>
        <w:rPr>
          <w:rFonts w:asciiTheme="majorHAnsi" w:hAnsiTheme="majorHAnsi" w:cs="Arial"/>
          <w:color w:val="222222"/>
          <w:shd w:val="clear" w:color="auto" w:fill="FFFFFF"/>
        </w:rPr>
      </w:pPr>
      <w:r w:rsidRPr="002D3543">
        <w:rPr>
          <w:rFonts w:asciiTheme="majorHAnsi" w:hAnsiTheme="majorHAnsi" w:cs="Arial"/>
          <w:color w:val="222222"/>
          <w:shd w:val="clear" w:color="auto" w:fill="FFFFFF"/>
        </w:rPr>
        <w:t>The third method estimated the internal load from in situ phosphorus increases in the fall.  The annu</w:t>
      </w:r>
      <w:r w:rsidR="00202BFC">
        <w:rPr>
          <w:rFonts w:asciiTheme="majorHAnsi" w:hAnsiTheme="majorHAnsi" w:cs="Arial"/>
          <w:color w:val="222222"/>
          <w:shd w:val="clear" w:color="auto" w:fill="FFFFFF"/>
        </w:rPr>
        <w:t xml:space="preserve">al load was calculated to be 233 kg (513 </w:t>
      </w:r>
      <w:r w:rsidR="0099795A">
        <w:rPr>
          <w:rFonts w:asciiTheme="majorHAnsi" w:hAnsiTheme="majorHAnsi" w:cs="Arial"/>
          <w:color w:val="222222"/>
          <w:shd w:val="clear" w:color="auto" w:fill="FFFFFF"/>
        </w:rPr>
        <w:t>lbs.</w:t>
      </w:r>
      <w:r w:rsidR="00202BFC">
        <w:rPr>
          <w:rFonts w:asciiTheme="majorHAnsi" w:hAnsiTheme="majorHAnsi" w:cs="Arial"/>
          <w:color w:val="222222"/>
          <w:shd w:val="clear" w:color="auto" w:fill="FFFFFF"/>
        </w:rPr>
        <w:t xml:space="preserve">) </w:t>
      </w:r>
      <w:r w:rsidR="00202BFC" w:rsidRPr="002D3543">
        <w:rPr>
          <w:rFonts w:asciiTheme="majorHAnsi" w:hAnsiTheme="majorHAnsi" w:cs="Arial"/>
          <w:color w:val="222222"/>
          <w:shd w:val="clear" w:color="auto" w:fill="FFFFFF"/>
        </w:rPr>
        <w:t>with</w:t>
      </w:r>
      <w:r w:rsidRPr="002D3543">
        <w:rPr>
          <w:rFonts w:asciiTheme="majorHAnsi" w:hAnsiTheme="majorHAnsi" w:cs="Arial"/>
          <w:color w:val="222222"/>
          <w:shd w:val="clear" w:color="auto" w:fill="FFFFFF"/>
        </w:rPr>
        <w:t xml:space="preserve"> a sediment release </w:t>
      </w:r>
      <w:r w:rsidR="00202BFC">
        <w:rPr>
          <w:rFonts w:asciiTheme="majorHAnsi" w:hAnsiTheme="majorHAnsi" w:cs="Arial"/>
          <w:color w:val="222222"/>
          <w:shd w:val="clear" w:color="auto" w:fill="FFFFFF"/>
        </w:rPr>
        <w:t>rate of 17</w:t>
      </w:r>
      <w:r w:rsidRPr="002D3543">
        <w:rPr>
          <w:rFonts w:asciiTheme="majorHAnsi" w:hAnsiTheme="majorHAnsi" w:cs="Arial"/>
          <w:color w:val="222222"/>
          <w:shd w:val="clear" w:color="auto" w:fill="FFFFFF"/>
        </w:rPr>
        <w:t xml:space="preserve"> mg/m</w:t>
      </w:r>
      <w:r w:rsidRPr="002D3543">
        <w:rPr>
          <w:rFonts w:asciiTheme="majorHAnsi" w:hAnsiTheme="majorHAnsi" w:cs="Arial"/>
          <w:color w:val="222222"/>
          <w:shd w:val="clear" w:color="auto" w:fill="FFFFFF"/>
          <w:vertAlign w:val="superscript"/>
        </w:rPr>
        <w:t>2</w:t>
      </w:r>
      <w:r w:rsidR="00202BFC">
        <w:rPr>
          <w:rFonts w:asciiTheme="majorHAnsi" w:hAnsiTheme="majorHAnsi" w:cs="Arial"/>
          <w:color w:val="222222"/>
          <w:shd w:val="clear" w:color="auto" w:fill="FFFFFF"/>
        </w:rPr>
        <w:t xml:space="preserve">-day in both the 2013 L-THIA and direct drainage scenarios. </w:t>
      </w:r>
      <w:r w:rsidRPr="002D3543">
        <w:rPr>
          <w:rFonts w:asciiTheme="majorHAnsi" w:hAnsiTheme="majorHAnsi" w:cs="Arial"/>
          <w:color w:val="222222"/>
          <w:shd w:val="clear" w:color="auto" w:fill="FFFFFF"/>
        </w:rPr>
        <w:t xml:space="preserve"> </w:t>
      </w:r>
      <w:r w:rsidR="00912184">
        <w:rPr>
          <w:rFonts w:asciiTheme="majorHAnsi" w:hAnsiTheme="majorHAnsi" w:cs="Arial"/>
          <w:color w:val="222222"/>
          <w:shd w:val="clear" w:color="auto" w:fill="FFFFFF"/>
        </w:rPr>
        <w:t>In 2014 the L-THIA scenario estimated the sediment phosphorus release rate to be 4.9</w:t>
      </w:r>
      <w:r w:rsidR="00912184" w:rsidRPr="002D3543">
        <w:rPr>
          <w:rFonts w:asciiTheme="majorHAnsi" w:hAnsiTheme="majorHAnsi" w:cs="Arial"/>
          <w:color w:val="222222"/>
          <w:shd w:val="clear" w:color="auto" w:fill="FFFFFF"/>
        </w:rPr>
        <w:t xml:space="preserve"> mg/m</w:t>
      </w:r>
      <w:r w:rsidR="00912184" w:rsidRPr="002D3543">
        <w:rPr>
          <w:rFonts w:asciiTheme="majorHAnsi" w:hAnsiTheme="majorHAnsi" w:cs="Arial"/>
          <w:color w:val="222222"/>
          <w:shd w:val="clear" w:color="auto" w:fill="FFFFFF"/>
          <w:vertAlign w:val="superscript"/>
        </w:rPr>
        <w:t>2</w:t>
      </w:r>
      <w:r w:rsidR="00912184">
        <w:rPr>
          <w:rFonts w:asciiTheme="majorHAnsi" w:hAnsiTheme="majorHAnsi" w:cs="Arial"/>
          <w:color w:val="222222"/>
          <w:shd w:val="clear" w:color="auto" w:fill="FFFFFF"/>
        </w:rPr>
        <w:t xml:space="preserve">-day with an annual internal load of 82 kg (180 </w:t>
      </w:r>
      <w:r w:rsidR="0099795A">
        <w:rPr>
          <w:rFonts w:asciiTheme="majorHAnsi" w:hAnsiTheme="majorHAnsi" w:cs="Arial"/>
          <w:color w:val="222222"/>
          <w:shd w:val="clear" w:color="auto" w:fill="FFFFFF"/>
        </w:rPr>
        <w:t>lbs.</w:t>
      </w:r>
      <w:r w:rsidR="00912184">
        <w:rPr>
          <w:rFonts w:asciiTheme="majorHAnsi" w:hAnsiTheme="majorHAnsi" w:cs="Arial"/>
          <w:color w:val="222222"/>
          <w:shd w:val="clear" w:color="auto" w:fill="FFFFFF"/>
        </w:rPr>
        <w:t xml:space="preserve">) annually.  </w:t>
      </w:r>
      <w:r w:rsidR="00370254">
        <w:rPr>
          <w:rFonts w:asciiTheme="majorHAnsi" w:hAnsiTheme="majorHAnsi" w:cs="Arial"/>
          <w:color w:val="222222"/>
          <w:shd w:val="clear" w:color="auto" w:fill="FFFFFF"/>
        </w:rPr>
        <w:t xml:space="preserve">In the 2014 </w:t>
      </w:r>
      <w:r w:rsidR="00045D2D">
        <w:rPr>
          <w:rFonts w:asciiTheme="majorHAnsi" w:hAnsiTheme="majorHAnsi" w:cs="Arial"/>
          <w:color w:val="222222"/>
          <w:shd w:val="clear" w:color="auto" w:fill="FFFFFF"/>
        </w:rPr>
        <w:t>d</w:t>
      </w:r>
      <w:r w:rsidR="00370254">
        <w:rPr>
          <w:rFonts w:asciiTheme="majorHAnsi" w:hAnsiTheme="majorHAnsi" w:cs="Arial"/>
          <w:color w:val="222222"/>
          <w:shd w:val="clear" w:color="auto" w:fill="FFFFFF"/>
        </w:rPr>
        <w:t xml:space="preserve">irect </w:t>
      </w:r>
      <w:r w:rsidR="00045D2D">
        <w:rPr>
          <w:rFonts w:asciiTheme="majorHAnsi" w:hAnsiTheme="majorHAnsi" w:cs="Arial"/>
          <w:color w:val="222222"/>
          <w:shd w:val="clear" w:color="auto" w:fill="FFFFFF"/>
        </w:rPr>
        <w:t>d</w:t>
      </w:r>
      <w:r w:rsidR="00370254">
        <w:rPr>
          <w:rFonts w:asciiTheme="majorHAnsi" w:hAnsiTheme="majorHAnsi" w:cs="Arial"/>
          <w:color w:val="222222"/>
          <w:shd w:val="clear" w:color="auto" w:fill="FFFFFF"/>
        </w:rPr>
        <w:t>rainage scenario the sediment release rate was calculated to be</w:t>
      </w:r>
      <w:r w:rsidR="002A146C">
        <w:rPr>
          <w:rFonts w:asciiTheme="majorHAnsi" w:hAnsiTheme="majorHAnsi" w:cs="Arial"/>
          <w:color w:val="222222"/>
          <w:shd w:val="clear" w:color="auto" w:fill="FFFFFF"/>
        </w:rPr>
        <w:t xml:space="preserve">  </w:t>
      </w:r>
      <w:r w:rsidR="00370254">
        <w:rPr>
          <w:rFonts w:asciiTheme="majorHAnsi" w:hAnsiTheme="majorHAnsi" w:cs="Arial"/>
          <w:color w:val="222222"/>
          <w:shd w:val="clear" w:color="auto" w:fill="FFFFFF"/>
        </w:rPr>
        <w:t xml:space="preserve"> -</w:t>
      </w:r>
      <w:r w:rsidR="002A146C">
        <w:rPr>
          <w:rFonts w:asciiTheme="majorHAnsi" w:hAnsiTheme="majorHAnsi" w:cs="Arial"/>
          <w:color w:val="222222"/>
          <w:shd w:val="clear" w:color="auto" w:fill="FFFFFF"/>
        </w:rPr>
        <w:t>0</w:t>
      </w:r>
      <w:r w:rsidR="00370254">
        <w:rPr>
          <w:rFonts w:asciiTheme="majorHAnsi" w:hAnsiTheme="majorHAnsi" w:cs="Arial"/>
          <w:color w:val="222222"/>
          <w:shd w:val="clear" w:color="auto" w:fill="FFFFFF"/>
        </w:rPr>
        <w:t xml:space="preserve">.3 </w:t>
      </w:r>
      <w:r w:rsidR="00370254" w:rsidRPr="002D3543">
        <w:rPr>
          <w:rFonts w:asciiTheme="majorHAnsi" w:hAnsiTheme="majorHAnsi" w:cs="Arial"/>
          <w:color w:val="222222"/>
          <w:shd w:val="clear" w:color="auto" w:fill="FFFFFF"/>
        </w:rPr>
        <w:t>mg/m</w:t>
      </w:r>
      <w:r w:rsidR="00370254" w:rsidRPr="002D3543">
        <w:rPr>
          <w:rFonts w:asciiTheme="majorHAnsi" w:hAnsiTheme="majorHAnsi" w:cs="Arial"/>
          <w:color w:val="222222"/>
          <w:shd w:val="clear" w:color="auto" w:fill="FFFFFF"/>
          <w:vertAlign w:val="superscript"/>
        </w:rPr>
        <w:t>2</w:t>
      </w:r>
      <w:r w:rsidR="00370254">
        <w:rPr>
          <w:rFonts w:asciiTheme="majorHAnsi" w:hAnsiTheme="majorHAnsi" w:cs="Arial"/>
          <w:color w:val="222222"/>
          <w:shd w:val="clear" w:color="auto" w:fill="FFFFFF"/>
        </w:rPr>
        <w:t>-day</w:t>
      </w:r>
      <w:r w:rsidR="002A146C">
        <w:rPr>
          <w:rFonts w:asciiTheme="majorHAnsi" w:hAnsiTheme="majorHAnsi" w:cs="Arial"/>
          <w:color w:val="222222"/>
          <w:shd w:val="clear" w:color="auto" w:fill="FFFFFF"/>
        </w:rPr>
        <w:t xml:space="preserve"> with an annual lo</w:t>
      </w:r>
      <w:r w:rsidR="00045D2D">
        <w:rPr>
          <w:rFonts w:asciiTheme="majorHAnsi" w:hAnsiTheme="majorHAnsi" w:cs="Arial"/>
          <w:color w:val="222222"/>
          <w:shd w:val="clear" w:color="auto" w:fill="FFFFFF"/>
        </w:rPr>
        <w:t>ading rate of -5 kg (</w:t>
      </w:r>
      <w:r w:rsidR="008B676A">
        <w:rPr>
          <w:rFonts w:asciiTheme="majorHAnsi" w:hAnsiTheme="majorHAnsi" w:cs="Arial"/>
          <w:color w:val="222222"/>
          <w:shd w:val="clear" w:color="auto" w:fill="FFFFFF"/>
        </w:rPr>
        <w:t>-11 lbs.</w:t>
      </w:r>
      <w:r w:rsidR="00045D2D">
        <w:rPr>
          <w:rFonts w:asciiTheme="majorHAnsi" w:hAnsiTheme="majorHAnsi" w:cs="Arial"/>
          <w:color w:val="222222"/>
          <w:shd w:val="clear" w:color="auto" w:fill="FFFFFF"/>
        </w:rPr>
        <w:t>).</w:t>
      </w:r>
      <w:r w:rsidR="008B676A">
        <w:rPr>
          <w:rFonts w:asciiTheme="majorHAnsi" w:hAnsiTheme="majorHAnsi" w:cs="Arial"/>
          <w:color w:val="222222"/>
          <w:shd w:val="clear" w:color="auto" w:fill="FFFFFF"/>
        </w:rPr>
        <w:t xml:space="preserve">  </w:t>
      </w:r>
      <w:r w:rsidR="0099795A">
        <w:rPr>
          <w:rFonts w:asciiTheme="majorHAnsi" w:hAnsiTheme="majorHAnsi" w:cs="Arial"/>
          <w:color w:val="222222"/>
          <w:shd w:val="clear" w:color="auto" w:fill="FFFFFF"/>
        </w:rPr>
        <w:t xml:space="preserve">The 2015 L-THIA model calculated a sediment phosphorus release rate of 13.5 </w:t>
      </w:r>
      <w:r w:rsidR="0099795A" w:rsidRPr="002D3543">
        <w:rPr>
          <w:rFonts w:asciiTheme="majorHAnsi" w:hAnsiTheme="majorHAnsi" w:cs="Arial"/>
          <w:color w:val="222222"/>
          <w:shd w:val="clear" w:color="auto" w:fill="FFFFFF"/>
        </w:rPr>
        <w:t>mg/m</w:t>
      </w:r>
      <w:r w:rsidR="0099795A" w:rsidRPr="002D3543">
        <w:rPr>
          <w:rFonts w:asciiTheme="majorHAnsi" w:hAnsiTheme="majorHAnsi" w:cs="Arial"/>
          <w:color w:val="222222"/>
          <w:shd w:val="clear" w:color="auto" w:fill="FFFFFF"/>
          <w:vertAlign w:val="superscript"/>
        </w:rPr>
        <w:t>2</w:t>
      </w:r>
      <w:r w:rsidR="0099795A">
        <w:rPr>
          <w:rFonts w:asciiTheme="majorHAnsi" w:hAnsiTheme="majorHAnsi" w:cs="Arial"/>
          <w:color w:val="222222"/>
          <w:shd w:val="clear" w:color="auto" w:fill="FFFFFF"/>
        </w:rPr>
        <w:t xml:space="preserve">-day with an annual load of 153 kg (337 lbs.), while the 2015 </w:t>
      </w:r>
      <w:r w:rsidR="00045D2D">
        <w:rPr>
          <w:rFonts w:asciiTheme="majorHAnsi" w:hAnsiTheme="majorHAnsi" w:cs="Arial"/>
          <w:color w:val="222222"/>
          <w:shd w:val="clear" w:color="auto" w:fill="FFFFFF"/>
        </w:rPr>
        <w:t>d</w:t>
      </w:r>
      <w:r w:rsidR="0099795A">
        <w:rPr>
          <w:rFonts w:asciiTheme="majorHAnsi" w:hAnsiTheme="majorHAnsi" w:cs="Arial"/>
          <w:color w:val="222222"/>
          <w:shd w:val="clear" w:color="auto" w:fill="FFFFFF"/>
        </w:rPr>
        <w:t xml:space="preserve">irect </w:t>
      </w:r>
      <w:r w:rsidR="00045D2D">
        <w:rPr>
          <w:rFonts w:asciiTheme="majorHAnsi" w:hAnsiTheme="majorHAnsi" w:cs="Arial"/>
          <w:color w:val="222222"/>
          <w:shd w:val="clear" w:color="auto" w:fill="FFFFFF"/>
        </w:rPr>
        <w:t>d</w:t>
      </w:r>
      <w:r w:rsidR="0099795A">
        <w:rPr>
          <w:rFonts w:asciiTheme="majorHAnsi" w:hAnsiTheme="majorHAnsi" w:cs="Arial"/>
          <w:color w:val="222222"/>
          <w:shd w:val="clear" w:color="auto" w:fill="FFFFFF"/>
        </w:rPr>
        <w:t xml:space="preserve">rainage model predicted an annual internal load of 64 kg (140 lbs.) with a sediment release rate of 5.6 </w:t>
      </w:r>
      <w:r w:rsidR="0099795A" w:rsidRPr="002D3543">
        <w:rPr>
          <w:rFonts w:asciiTheme="majorHAnsi" w:hAnsiTheme="majorHAnsi" w:cs="Arial"/>
          <w:color w:val="222222"/>
          <w:shd w:val="clear" w:color="auto" w:fill="FFFFFF"/>
        </w:rPr>
        <w:t>mg/m</w:t>
      </w:r>
      <w:r w:rsidR="0099795A" w:rsidRPr="002D3543">
        <w:rPr>
          <w:rFonts w:asciiTheme="majorHAnsi" w:hAnsiTheme="majorHAnsi" w:cs="Arial"/>
          <w:color w:val="222222"/>
          <w:shd w:val="clear" w:color="auto" w:fill="FFFFFF"/>
          <w:vertAlign w:val="superscript"/>
        </w:rPr>
        <w:t>2</w:t>
      </w:r>
      <w:r w:rsidR="0099795A">
        <w:rPr>
          <w:rFonts w:asciiTheme="majorHAnsi" w:hAnsiTheme="majorHAnsi" w:cs="Arial"/>
          <w:color w:val="222222"/>
          <w:shd w:val="clear" w:color="auto" w:fill="FFFFFF"/>
        </w:rPr>
        <w:t>-day.</w:t>
      </w:r>
    </w:p>
    <w:p w:rsidR="0099795A" w:rsidRDefault="003B0E88" w:rsidP="0099795A">
      <w:pPr>
        <w:rPr>
          <w:rFonts w:asciiTheme="majorHAnsi" w:hAnsiTheme="majorHAnsi" w:cs="Arial"/>
          <w:color w:val="222222"/>
          <w:shd w:val="clear" w:color="auto" w:fill="FFFFFF"/>
        </w:rPr>
      </w:pPr>
      <w:r w:rsidRPr="002D3543">
        <w:rPr>
          <w:rFonts w:asciiTheme="majorHAnsi" w:hAnsiTheme="majorHAnsi" w:cs="Arial"/>
          <w:color w:val="222222"/>
          <w:shd w:val="clear" w:color="auto" w:fill="FFFFFF"/>
        </w:rPr>
        <w:lastRenderedPageBreak/>
        <w:t xml:space="preserve">The fourth method used the average of the calculated phosphorus release rates </w:t>
      </w:r>
      <w:r>
        <w:rPr>
          <w:rFonts w:asciiTheme="majorHAnsi" w:hAnsiTheme="majorHAnsi" w:cs="Arial"/>
          <w:color w:val="222222"/>
          <w:shd w:val="clear" w:color="auto" w:fill="FFFFFF"/>
        </w:rPr>
        <w:t>(7.1</w:t>
      </w:r>
      <w:r w:rsidRPr="003B0E88">
        <w:rPr>
          <w:rFonts w:asciiTheme="majorHAnsi" w:hAnsiTheme="majorHAnsi" w:cs="Arial"/>
          <w:color w:val="222222"/>
          <w:shd w:val="clear" w:color="auto" w:fill="FFFFFF"/>
        </w:rPr>
        <w:t xml:space="preserve"> </w:t>
      </w:r>
      <w:r w:rsidRPr="002D3543">
        <w:rPr>
          <w:rFonts w:asciiTheme="majorHAnsi" w:hAnsiTheme="majorHAnsi" w:cs="Arial"/>
          <w:color w:val="222222"/>
          <w:shd w:val="clear" w:color="auto" w:fill="FFFFFF"/>
        </w:rPr>
        <w:t>mg/m</w:t>
      </w:r>
      <w:r w:rsidRPr="002D3543">
        <w:rPr>
          <w:rFonts w:asciiTheme="majorHAnsi" w:hAnsiTheme="majorHAnsi" w:cs="Arial"/>
          <w:color w:val="222222"/>
          <w:shd w:val="clear" w:color="auto" w:fill="FFFFFF"/>
          <w:vertAlign w:val="superscript"/>
        </w:rPr>
        <w:t>2</w:t>
      </w:r>
      <w:r>
        <w:rPr>
          <w:rFonts w:asciiTheme="majorHAnsi" w:hAnsiTheme="majorHAnsi" w:cs="Arial"/>
          <w:color w:val="222222"/>
          <w:shd w:val="clear" w:color="auto" w:fill="FFFFFF"/>
        </w:rPr>
        <w:t xml:space="preserve">-day) </w:t>
      </w:r>
      <w:r w:rsidRPr="002D3543">
        <w:rPr>
          <w:rFonts w:asciiTheme="majorHAnsi" w:hAnsiTheme="majorHAnsi" w:cs="Arial"/>
          <w:color w:val="222222"/>
          <w:shd w:val="clear" w:color="auto" w:fill="FFFFFF"/>
        </w:rPr>
        <w:t xml:space="preserve">and anoxic sediment area.  This calculated the internal load to be </w:t>
      </w:r>
      <w:r>
        <w:rPr>
          <w:rFonts w:asciiTheme="majorHAnsi" w:hAnsiTheme="majorHAnsi" w:cs="Arial"/>
          <w:color w:val="222222"/>
          <w:shd w:val="clear" w:color="auto" w:fill="FFFFFF"/>
        </w:rPr>
        <w:t>87 kg (193 lbs</w:t>
      </w:r>
      <w:r w:rsidR="00045D2D">
        <w:rPr>
          <w:rFonts w:asciiTheme="majorHAnsi" w:hAnsiTheme="majorHAnsi" w:cs="Arial"/>
          <w:color w:val="222222"/>
          <w:shd w:val="clear" w:color="auto" w:fill="FFFFFF"/>
        </w:rPr>
        <w:t>.</w:t>
      </w:r>
      <w:r>
        <w:rPr>
          <w:rFonts w:asciiTheme="majorHAnsi" w:hAnsiTheme="majorHAnsi" w:cs="Arial"/>
          <w:color w:val="222222"/>
          <w:shd w:val="clear" w:color="auto" w:fill="FFFFFF"/>
        </w:rPr>
        <w:t>)</w:t>
      </w:r>
      <w:r w:rsidRPr="002D3543">
        <w:rPr>
          <w:rFonts w:asciiTheme="majorHAnsi" w:hAnsiTheme="majorHAnsi" w:cs="Arial"/>
          <w:color w:val="222222"/>
          <w:shd w:val="clear" w:color="auto" w:fill="FFFFFF"/>
        </w:rPr>
        <w:t xml:space="preserve"> of phosphorus annually</w:t>
      </w:r>
      <w:r>
        <w:rPr>
          <w:rFonts w:asciiTheme="majorHAnsi" w:hAnsiTheme="majorHAnsi" w:cs="Arial"/>
          <w:color w:val="222222"/>
          <w:shd w:val="clear" w:color="auto" w:fill="FFFFFF"/>
        </w:rPr>
        <w:t xml:space="preserve"> in both 2013 scenarios</w:t>
      </w:r>
      <w:r w:rsidRPr="002D3543">
        <w:rPr>
          <w:rFonts w:asciiTheme="majorHAnsi" w:hAnsiTheme="majorHAnsi" w:cs="Arial"/>
          <w:color w:val="222222"/>
          <w:shd w:val="clear" w:color="auto" w:fill="FFFFFF"/>
        </w:rPr>
        <w:t>.</w:t>
      </w:r>
      <w:r w:rsidR="002A146C">
        <w:rPr>
          <w:rFonts w:asciiTheme="majorHAnsi" w:hAnsiTheme="majorHAnsi" w:cs="Arial"/>
          <w:color w:val="222222"/>
          <w:shd w:val="clear" w:color="auto" w:fill="FFFFFF"/>
        </w:rPr>
        <w:t xml:space="preserve">  The release rate for the 2014 L-THIA model was calculated to be </w:t>
      </w:r>
      <w:r w:rsidR="008262F5">
        <w:rPr>
          <w:rFonts w:asciiTheme="majorHAnsi" w:hAnsiTheme="majorHAnsi" w:cs="Arial"/>
          <w:color w:val="222222"/>
          <w:shd w:val="clear" w:color="auto" w:fill="FFFFFF"/>
        </w:rPr>
        <w:t xml:space="preserve">2.4 </w:t>
      </w:r>
      <w:r w:rsidR="008262F5" w:rsidRPr="003B0E88">
        <w:rPr>
          <w:rFonts w:asciiTheme="majorHAnsi" w:hAnsiTheme="majorHAnsi" w:cs="Arial"/>
          <w:color w:val="222222"/>
          <w:shd w:val="clear" w:color="auto" w:fill="FFFFFF"/>
        </w:rPr>
        <w:t>mg</w:t>
      </w:r>
      <w:r w:rsidR="002A146C" w:rsidRPr="002D3543">
        <w:rPr>
          <w:rFonts w:asciiTheme="majorHAnsi" w:hAnsiTheme="majorHAnsi" w:cs="Arial"/>
          <w:color w:val="222222"/>
          <w:shd w:val="clear" w:color="auto" w:fill="FFFFFF"/>
        </w:rPr>
        <w:t>/m</w:t>
      </w:r>
      <w:r w:rsidR="002A146C" w:rsidRPr="002D3543">
        <w:rPr>
          <w:rFonts w:asciiTheme="majorHAnsi" w:hAnsiTheme="majorHAnsi" w:cs="Arial"/>
          <w:color w:val="222222"/>
          <w:shd w:val="clear" w:color="auto" w:fill="FFFFFF"/>
          <w:vertAlign w:val="superscript"/>
        </w:rPr>
        <w:t>2</w:t>
      </w:r>
      <w:r w:rsidR="002A146C">
        <w:rPr>
          <w:rFonts w:asciiTheme="majorHAnsi" w:hAnsiTheme="majorHAnsi" w:cs="Arial"/>
          <w:color w:val="222222"/>
          <w:shd w:val="clear" w:color="auto" w:fill="FFFFFF"/>
        </w:rPr>
        <w:t>-</w:t>
      </w:r>
      <w:r w:rsidR="008262F5">
        <w:rPr>
          <w:rFonts w:asciiTheme="majorHAnsi" w:hAnsiTheme="majorHAnsi" w:cs="Arial"/>
          <w:color w:val="222222"/>
          <w:shd w:val="clear" w:color="auto" w:fill="FFFFFF"/>
        </w:rPr>
        <w:t>day with</w:t>
      </w:r>
      <w:r w:rsidR="002A146C">
        <w:rPr>
          <w:rFonts w:asciiTheme="majorHAnsi" w:hAnsiTheme="majorHAnsi" w:cs="Arial"/>
          <w:color w:val="222222"/>
          <w:shd w:val="clear" w:color="auto" w:fill="FFFFFF"/>
        </w:rPr>
        <w:t xml:space="preserve"> a loading rate of 33 kg (73 lbs.) annually.</w:t>
      </w:r>
      <w:r w:rsidR="00045D2D">
        <w:rPr>
          <w:rFonts w:asciiTheme="majorHAnsi" w:hAnsiTheme="majorHAnsi" w:cs="Arial"/>
          <w:color w:val="222222"/>
          <w:shd w:val="clear" w:color="auto" w:fill="FFFFFF"/>
        </w:rPr>
        <w:t xml:space="preserve"> </w:t>
      </w:r>
      <w:r w:rsidR="002A146C">
        <w:rPr>
          <w:rFonts w:asciiTheme="majorHAnsi" w:hAnsiTheme="majorHAnsi" w:cs="Arial"/>
          <w:color w:val="222222"/>
          <w:shd w:val="clear" w:color="auto" w:fill="FFFFFF"/>
        </w:rPr>
        <w:t xml:space="preserve"> In the 2014 </w:t>
      </w:r>
      <w:r w:rsidR="00045D2D">
        <w:rPr>
          <w:rFonts w:asciiTheme="majorHAnsi" w:hAnsiTheme="majorHAnsi" w:cs="Arial"/>
          <w:color w:val="222222"/>
          <w:shd w:val="clear" w:color="auto" w:fill="FFFFFF"/>
        </w:rPr>
        <w:t>d</w:t>
      </w:r>
      <w:r w:rsidR="002A146C">
        <w:rPr>
          <w:rFonts w:asciiTheme="majorHAnsi" w:hAnsiTheme="majorHAnsi" w:cs="Arial"/>
          <w:color w:val="222222"/>
          <w:shd w:val="clear" w:color="auto" w:fill="FFFFFF"/>
        </w:rPr>
        <w:t xml:space="preserve">irect </w:t>
      </w:r>
      <w:r w:rsidR="00045D2D">
        <w:rPr>
          <w:rFonts w:asciiTheme="majorHAnsi" w:hAnsiTheme="majorHAnsi" w:cs="Arial"/>
          <w:color w:val="222222"/>
          <w:shd w:val="clear" w:color="auto" w:fill="FFFFFF"/>
        </w:rPr>
        <w:t>d</w:t>
      </w:r>
      <w:r w:rsidR="002A146C">
        <w:rPr>
          <w:rFonts w:asciiTheme="majorHAnsi" w:hAnsiTheme="majorHAnsi" w:cs="Arial"/>
          <w:color w:val="222222"/>
          <w:shd w:val="clear" w:color="auto" w:fill="FFFFFF"/>
        </w:rPr>
        <w:t>rainage scenario the sediment rel</w:t>
      </w:r>
      <w:r w:rsidR="00045D2D">
        <w:rPr>
          <w:rFonts w:asciiTheme="majorHAnsi" w:hAnsiTheme="majorHAnsi" w:cs="Arial"/>
          <w:color w:val="222222"/>
          <w:shd w:val="clear" w:color="auto" w:fill="FFFFFF"/>
        </w:rPr>
        <w:t>ease rate was calculated to be</w:t>
      </w:r>
      <w:r w:rsidR="008262F5">
        <w:rPr>
          <w:rFonts w:asciiTheme="majorHAnsi" w:hAnsiTheme="majorHAnsi" w:cs="Arial"/>
          <w:color w:val="222222"/>
          <w:shd w:val="clear" w:color="auto" w:fill="FFFFFF"/>
        </w:rPr>
        <w:t xml:space="preserve"> -0.2</w:t>
      </w:r>
      <w:r w:rsidR="002A146C">
        <w:rPr>
          <w:rFonts w:asciiTheme="majorHAnsi" w:hAnsiTheme="majorHAnsi" w:cs="Arial"/>
          <w:color w:val="222222"/>
          <w:shd w:val="clear" w:color="auto" w:fill="FFFFFF"/>
        </w:rPr>
        <w:t xml:space="preserve"> </w:t>
      </w:r>
      <w:r w:rsidR="002A146C" w:rsidRPr="002D3543">
        <w:rPr>
          <w:rFonts w:asciiTheme="majorHAnsi" w:hAnsiTheme="majorHAnsi" w:cs="Arial"/>
          <w:color w:val="222222"/>
          <w:shd w:val="clear" w:color="auto" w:fill="FFFFFF"/>
        </w:rPr>
        <w:t>mg/m</w:t>
      </w:r>
      <w:r w:rsidR="002A146C" w:rsidRPr="002D3543">
        <w:rPr>
          <w:rFonts w:asciiTheme="majorHAnsi" w:hAnsiTheme="majorHAnsi" w:cs="Arial"/>
          <w:color w:val="222222"/>
          <w:shd w:val="clear" w:color="auto" w:fill="FFFFFF"/>
          <w:vertAlign w:val="superscript"/>
        </w:rPr>
        <w:t>2</w:t>
      </w:r>
      <w:r w:rsidR="002A146C">
        <w:rPr>
          <w:rFonts w:asciiTheme="majorHAnsi" w:hAnsiTheme="majorHAnsi" w:cs="Arial"/>
          <w:color w:val="222222"/>
          <w:shd w:val="clear" w:color="auto" w:fill="FFFFFF"/>
        </w:rPr>
        <w:t>-day</w:t>
      </w:r>
      <w:r w:rsidR="008262F5">
        <w:rPr>
          <w:rFonts w:asciiTheme="majorHAnsi" w:hAnsiTheme="majorHAnsi" w:cs="Arial"/>
          <w:color w:val="222222"/>
          <w:shd w:val="clear" w:color="auto" w:fill="FFFFFF"/>
        </w:rPr>
        <w:t>, however</w:t>
      </w:r>
      <w:r w:rsidR="00045D2D">
        <w:rPr>
          <w:rFonts w:asciiTheme="majorHAnsi" w:hAnsiTheme="majorHAnsi" w:cs="Arial"/>
          <w:color w:val="222222"/>
          <w:shd w:val="clear" w:color="auto" w:fill="FFFFFF"/>
        </w:rPr>
        <w:t>,</w:t>
      </w:r>
      <w:r w:rsidR="008262F5">
        <w:rPr>
          <w:rFonts w:asciiTheme="majorHAnsi" w:hAnsiTheme="majorHAnsi" w:cs="Arial"/>
          <w:color w:val="222222"/>
          <w:shd w:val="clear" w:color="auto" w:fill="FFFFFF"/>
        </w:rPr>
        <w:t xml:space="preserve"> the model predicted the annual loading rate to be the same.</w:t>
      </w:r>
      <w:r w:rsidR="0099795A">
        <w:rPr>
          <w:rFonts w:asciiTheme="majorHAnsi" w:hAnsiTheme="majorHAnsi" w:cs="Arial"/>
          <w:color w:val="222222"/>
          <w:shd w:val="clear" w:color="auto" w:fill="FFFFFF"/>
        </w:rPr>
        <w:t xml:space="preserve">  The release rate for the 2015 L-THIA model was calculated to be 7.7 </w:t>
      </w:r>
      <w:r w:rsidR="0099795A" w:rsidRPr="003B0E88">
        <w:rPr>
          <w:rFonts w:asciiTheme="majorHAnsi" w:hAnsiTheme="majorHAnsi" w:cs="Arial"/>
          <w:color w:val="222222"/>
          <w:shd w:val="clear" w:color="auto" w:fill="FFFFFF"/>
        </w:rPr>
        <w:t>mg</w:t>
      </w:r>
      <w:r w:rsidR="0099795A" w:rsidRPr="002D3543">
        <w:rPr>
          <w:rFonts w:asciiTheme="majorHAnsi" w:hAnsiTheme="majorHAnsi" w:cs="Arial"/>
          <w:color w:val="222222"/>
          <w:shd w:val="clear" w:color="auto" w:fill="FFFFFF"/>
        </w:rPr>
        <w:t>/m</w:t>
      </w:r>
      <w:r w:rsidR="0099795A" w:rsidRPr="002D3543">
        <w:rPr>
          <w:rFonts w:asciiTheme="majorHAnsi" w:hAnsiTheme="majorHAnsi" w:cs="Arial"/>
          <w:color w:val="222222"/>
          <w:shd w:val="clear" w:color="auto" w:fill="FFFFFF"/>
          <w:vertAlign w:val="superscript"/>
        </w:rPr>
        <w:t>2</w:t>
      </w:r>
      <w:r w:rsidR="0099795A">
        <w:rPr>
          <w:rFonts w:asciiTheme="majorHAnsi" w:hAnsiTheme="majorHAnsi" w:cs="Arial"/>
          <w:color w:val="222222"/>
          <w:shd w:val="clear" w:color="auto" w:fill="FFFFFF"/>
        </w:rPr>
        <w:t>-day with a loading rate of 119 kg (263 lbs.) annually.</w:t>
      </w:r>
      <w:r w:rsidR="00045D2D">
        <w:rPr>
          <w:rFonts w:asciiTheme="majorHAnsi" w:hAnsiTheme="majorHAnsi" w:cs="Arial"/>
          <w:color w:val="222222"/>
          <w:shd w:val="clear" w:color="auto" w:fill="FFFFFF"/>
        </w:rPr>
        <w:t xml:space="preserve"> </w:t>
      </w:r>
      <w:r w:rsidR="0099795A">
        <w:rPr>
          <w:rFonts w:asciiTheme="majorHAnsi" w:hAnsiTheme="majorHAnsi" w:cs="Arial"/>
          <w:color w:val="222222"/>
          <w:shd w:val="clear" w:color="auto" w:fill="FFFFFF"/>
        </w:rPr>
        <w:t xml:space="preserve"> In the 2015 </w:t>
      </w:r>
      <w:r w:rsidR="00045D2D">
        <w:rPr>
          <w:rFonts w:asciiTheme="majorHAnsi" w:hAnsiTheme="majorHAnsi" w:cs="Arial"/>
          <w:color w:val="222222"/>
          <w:shd w:val="clear" w:color="auto" w:fill="FFFFFF"/>
        </w:rPr>
        <w:t>d</w:t>
      </w:r>
      <w:r w:rsidR="0099795A">
        <w:rPr>
          <w:rFonts w:asciiTheme="majorHAnsi" w:hAnsiTheme="majorHAnsi" w:cs="Arial"/>
          <w:color w:val="222222"/>
          <w:shd w:val="clear" w:color="auto" w:fill="FFFFFF"/>
        </w:rPr>
        <w:t xml:space="preserve">irect </w:t>
      </w:r>
      <w:r w:rsidR="00045D2D">
        <w:rPr>
          <w:rFonts w:asciiTheme="majorHAnsi" w:hAnsiTheme="majorHAnsi" w:cs="Arial"/>
          <w:color w:val="222222"/>
          <w:shd w:val="clear" w:color="auto" w:fill="FFFFFF"/>
        </w:rPr>
        <w:t>d</w:t>
      </w:r>
      <w:r w:rsidR="0099795A">
        <w:rPr>
          <w:rFonts w:asciiTheme="majorHAnsi" w:hAnsiTheme="majorHAnsi" w:cs="Arial"/>
          <w:color w:val="222222"/>
          <w:shd w:val="clear" w:color="auto" w:fill="FFFFFF"/>
        </w:rPr>
        <w:t>rainage scenario the sediment rel</w:t>
      </w:r>
      <w:r w:rsidR="00045D2D">
        <w:rPr>
          <w:rFonts w:asciiTheme="majorHAnsi" w:hAnsiTheme="majorHAnsi" w:cs="Arial"/>
          <w:color w:val="222222"/>
          <w:shd w:val="clear" w:color="auto" w:fill="FFFFFF"/>
        </w:rPr>
        <w:t>ease rate was calculated to be</w:t>
      </w:r>
      <w:r w:rsidR="0099795A">
        <w:rPr>
          <w:rFonts w:asciiTheme="majorHAnsi" w:hAnsiTheme="majorHAnsi" w:cs="Arial"/>
          <w:color w:val="222222"/>
          <w:shd w:val="clear" w:color="auto" w:fill="FFFFFF"/>
        </w:rPr>
        <w:t xml:space="preserve"> 3.8 </w:t>
      </w:r>
      <w:r w:rsidR="0099795A" w:rsidRPr="002D3543">
        <w:rPr>
          <w:rFonts w:asciiTheme="majorHAnsi" w:hAnsiTheme="majorHAnsi" w:cs="Arial"/>
          <w:color w:val="222222"/>
          <w:shd w:val="clear" w:color="auto" w:fill="FFFFFF"/>
        </w:rPr>
        <w:t>mg/m</w:t>
      </w:r>
      <w:r w:rsidR="0099795A" w:rsidRPr="002D3543">
        <w:rPr>
          <w:rFonts w:asciiTheme="majorHAnsi" w:hAnsiTheme="majorHAnsi" w:cs="Arial"/>
          <w:color w:val="222222"/>
          <w:shd w:val="clear" w:color="auto" w:fill="FFFFFF"/>
          <w:vertAlign w:val="superscript"/>
        </w:rPr>
        <w:t>2</w:t>
      </w:r>
      <w:r w:rsidR="0099795A">
        <w:rPr>
          <w:rFonts w:asciiTheme="majorHAnsi" w:hAnsiTheme="majorHAnsi" w:cs="Arial"/>
          <w:color w:val="222222"/>
          <w:shd w:val="clear" w:color="auto" w:fill="FFFFFF"/>
        </w:rPr>
        <w:t>-day and also predicted the annual loading rate to be the same.  This is unlikely an invalid method for Big Blake Lake</w:t>
      </w:r>
      <w:r w:rsidR="00045D2D">
        <w:rPr>
          <w:rFonts w:asciiTheme="majorHAnsi" w:hAnsiTheme="majorHAnsi" w:cs="Arial"/>
          <w:color w:val="222222"/>
          <w:shd w:val="clear" w:color="auto" w:fill="FFFFFF"/>
        </w:rPr>
        <w:t>.</w:t>
      </w:r>
    </w:p>
    <w:p w:rsidR="003B0E88" w:rsidRDefault="003B0E88" w:rsidP="00322ED2">
      <w:pPr>
        <w:rPr>
          <w:rFonts w:asciiTheme="majorHAnsi" w:hAnsiTheme="majorHAnsi" w:cs="Arial"/>
          <w:color w:val="222222"/>
          <w:shd w:val="clear" w:color="auto" w:fill="FFFFFF"/>
        </w:rPr>
      </w:pPr>
    </w:p>
    <w:p w:rsidR="003B0E88" w:rsidRDefault="003B0E88" w:rsidP="003B0E88">
      <w:pPr>
        <w:rPr>
          <w:rFonts w:asciiTheme="majorHAnsi" w:hAnsiTheme="majorHAnsi" w:cs="Arial"/>
          <w:color w:val="222222"/>
          <w:shd w:val="clear" w:color="auto" w:fill="FFFFFF"/>
        </w:rPr>
      </w:pPr>
      <w:r>
        <w:rPr>
          <w:noProof/>
        </w:rPr>
        <w:drawing>
          <wp:inline distT="0" distB="0" distL="0" distR="0" wp14:anchorId="2BC20440" wp14:editId="582A38D9">
            <wp:extent cx="5057775" cy="3167063"/>
            <wp:effectExtent l="0" t="0" r="9525" b="14605"/>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322ED2" w:rsidRDefault="001552A1" w:rsidP="004F0EC5">
      <w:pPr>
        <w:rPr>
          <w:rFonts w:asciiTheme="majorHAnsi" w:hAnsiTheme="majorHAnsi"/>
        </w:rPr>
      </w:pPr>
      <w:r w:rsidRPr="002D3543">
        <w:rPr>
          <w:rFonts w:asciiTheme="majorHAnsi" w:hAnsiTheme="majorHAnsi"/>
        </w:rPr>
        <w:t>The 1984 Nurnberg model is commonly used to estimate the</w:t>
      </w:r>
      <w:r w:rsidR="00C7705C">
        <w:rPr>
          <w:rFonts w:asciiTheme="majorHAnsi" w:hAnsiTheme="majorHAnsi"/>
        </w:rPr>
        <w:t xml:space="preserve"> effects of the</w:t>
      </w:r>
      <w:r w:rsidRPr="002D3543">
        <w:rPr>
          <w:rFonts w:asciiTheme="majorHAnsi" w:hAnsiTheme="majorHAnsi"/>
        </w:rPr>
        <w:t xml:space="preserve"> internal load for a lake. The Nurnberg</w:t>
      </w:r>
      <w:r w:rsidRPr="002D3543">
        <w:rPr>
          <w:rFonts w:asciiTheme="majorHAnsi" w:hAnsiTheme="majorHAnsi" w:cs="Arial"/>
        </w:rPr>
        <w:t xml:space="preserve"> total phosphorus model </w:t>
      </w:r>
      <w:r w:rsidR="0099795A" w:rsidRPr="002D3543">
        <w:rPr>
          <w:rFonts w:asciiTheme="majorHAnsi" w:hAnsiTheme="majorHAnsi" w:cs="Arial"/>
        </w:rPr>
        <w:t>is (</w:t>
      </w:r>
      <m:oMath>
        <m:r>
          <w:rPr>
            <w:rFonts w:ascii="Cambria Math" w:hAnsi="Cambria Math" w:cs="Arial"/>
          </w:rPr>
          <m:t>P=</m:t>
        </m:r>
        <m:f>
          <m:fPr>
            <m:ctrlPr>
              <w:rPr>
                <w:rFonts w:ascii="Cambria Math" w:hAnsi="Cambria Math" w:cs="Arial"/>
                <w:i/>
              </w:rPr>
            </m:ctrlPr>
          </m:fPr>
          <m:num>
            <m:sSub>
              <m:sSubPr>
                <m:ctrlPr>
                  <w:rPr>
                    <w:rFonts w:ascii="Cambria Math" w:hAnsi="Cambria Math" w:cs="Arial"/>
                    <w:i/>
                  </w:rPr>
                </m:ctrlPr>
              </m:sSubPr>
              <m:e>
                <m:r>
                  <w:rPr>
                    <w:rFonts w:ascii="Cambria Math" w:hAnsi="Cambria Math" w:cs="Arial"/>
                  </w:rPr>
                  <m:t>L</m:t>
                </m:r>
              </m:e>
              <m:sub>
                <m:r>
                  <w:rPr>
                    <w:rFonts w:ascii="Cambria Math" w:hAnsi="Cambria Math" w:cs="Arial"/>
                  </w:rPr>
                  <m:t>Ext</m:t>
                </m:r>
              </m:sub>
            </m:sSub>
          </m:num>
          <m:den>
            <m:sSub>
              <m:sSubPr>
                <m:ctrlPr>
                  <w:rPr>
                    <w:rFonts w:ascii="Cambria Math" w:hAnsi="Cambria Math" w:cs="Arial"/>
                    <w:i/>
                  </w:rPr>
                </m:ctrlPr>
              </m:sSubPr>
              <m:e>
                <m:r>
                  <w:rPr>
                    <w:rFonts w:ascii="Cambria Math" w:hAnsi="Cambria Math" w:cs="Arial"/>
                  </w:rPr>
                  <m:t>q</m:t>
                </m:r>
              </m:e>
              <m:sub>
                <m:r>
                  <w:rPr>
                    <w:rFonts w:ascii="Cambria Math" w:hAnsi="Cambria Math" w:cs="Arial"/>
                  </w:rPr>
                  <m:t>s</m:t>
                </m:r>
              </m:sub>
            </m:sSub>
          </m:den>
        </m:f>
        <m:d>
          <m:dPr>
            <m:ctrlPr>
              <w:rPr>
                <w:rFonts w:ascii="Cambria Math" w:hAnsi="Cambria Math" w:cs="Arial"/>
                <w:i/>
              </w:rPr>
            </m:ctrlPr>
          </m:dPr>
          <m:e>
            <m:r>
              <w:rPr>
                <w:rFonts w:ascii="Cambria Math" w:hAnsi="Cambria Math" w:cs="Arial"/>
              </w:rPr>
              <m:t>1-R</m:t>
            </m:r>
          </m:e>
        </m:d>
        <m:r>
          <w:rPr>
            <w:rFonts w:ascii="Cambria Math" w:hAnsi="Cambria Math" w:cs="Arial"/>
          </w:rPr>
          <m:t>+</m:t>
        </m:r>
        <m:f>
          <m:fPr>
            <m:ctrlPr>
              <w:rPr>
                <w:rFonts w:ascii="Cambria Math" w:hAnsi="Cambria Math" w:cs="Arial"/>
                <w:i/>
              </w:rPr>
            </m:ctrlPr>
          </m:fPr>
          <m:num>
            <m:sSub>
              <m:sSubPr>
                <m:ctrlPr>
                  <w:rPr>
                    <w:rFonts w:ascii="Cambria Math" w:hAnsi="Cambria Math" w:cs="Arial"/>
                    <w:i/>
                  </w:rPr>
                </m:ctrlPr>
              </m:sSubPr>
              <m:e>
                <m:r>
                  <w:rPr>
                    <w:rFonts w:ascii="Cambria Math" w:hAnsi="Cambria Math" w:cs="Arial"/>
                  </w:rPr>
                  <m:t>L</m:t>
                </m:r>
              </m:e>
              <m:sub>
                <m:r>
                  <w:rPr>
                    <w:rFonts w:ascii="Cambria Math" w:hAnsi="Cambria Math" w:cs="Arial"/>
                  </w:rPr>
                  <m:t>Int</m:t>
                </m:r>
              </m:sub>
            </m:sSub>
          </m:num>
          <m:den>
            <m:sSub>
              <m:sSubPr>
                <m:ctrlPr>
                  <w:rPr>
                    <w:rFonts w:ascii="Cambria Math" w:hAnsi="Cambria Math" w:cs="Arial"/>
                    <w:i/>
                  </w:rPr>
                </m:ctrlPr>
              </m:sSubPr>
              <m:e>
                <m:r>
                  <w:rPr>
                    <w:rFonts w:ascii="Cambria Math" w:hAnsi="Cambria Math" w:cs="Arial"/>
                  </w:rPr>
                  <m:t>q</m:t>
                </m:r>
              </m:e>
              <m:sub>
                <m:r>
                  <w:rPr>
                    <w:rFonts w:ascii="Cambria Math" w:hAnsi="Cambria Math" w:cs="Arial"/>
                  </w:rPr>
                  <m:t>s</m:t>
                </m:r>
              </m:sub>
            </m:sSub>
          </m:den>
        </m:f>
      </m:oMath>
      <w:r w:rsidRPr="002D3543">
        <w:rPr>
          <w:rFonts w:asciiTheme="majorHAnsi" w:hAnsiTheme="majorHAnsi" w:cs="Arial"/>
        </w:rPr>
        <w:t xml:space="preserve"> where </w:t>
      </w:r>
      <m:oMath>
        <m:r>
          <w:rPr>
            <w:rFonts w:ascii="Cambria Math" w:hAnsi="Cambria Math" w:cs="Arial"/>
          </w:rPr>
          <m:t>R=</m:t>
        </m:r>
        <m:f>
          <m:fPr>
            <m:ctrlPr>
              <w:rPr>
                <w:rFonts w:ascii="Cambria Math" w:hAnsi="Cambria Math" w:cs="Arial"/>
                <w:i/>
              </w:rPr>
            </m:ctrlPr>
          </m:fPr>
          <m:num>
            <m:r>
              <w:rPr>
                <w:rFonts w:ascii="Cambria Math" w:hAnsi="Cambria Math" w:cs="Arial"/>
              </w:rPr>
              <m:t>15</m:t>
            </m:r>
          </m:num>
          <m:den>
            <m:r>
              <w:rPr>
                <w:rFonts w:ascii="Cambria Math" w:hAnsi="Cambria Math" w:cs="Arial"/>
              </w:rPr>
              <m:t>18+</m:t>
            </m:r>
            <m:sSub>
              <m:sSubPr>
                <m:ctrlPr>
                  <w:rPr>
                    <w:rFonts w:ascii="Cambria Math" w:hAnsi="Cambria Math" w:cs="Arial"/>
                    <w:i/>
                  </w:rPr>
                </m:ctrlPr>
              </m:sSubPr>
              <m:e>
                <m:r>
                  <w:rPr>
                    <w:rFonts w:ascii="Cambria Math" w:hAnsi="Cambria Math" w:cs="Arial"/>
                  </w:rPr>
                  <m:t>q</m:t>
                </m:r>
              </m:e>
              <m:sub>
                <m:r>
                  <w:rPr>
                    <w:rFonts w:ascii="Cambria Math" w:hAnsi="Cambria Math" w:cs="Arial"/>
                  </w:rPr>
                  <m:t>s</m:t>
                </m:r>
              </m:sub>
            </m:sSub>
          </m:den>
        </m:f>
      </m:oMath>
      <w:r w:rsidRPr="002D3543">
        <w:rPr>
          <w:rFonts w:asciiTheme="majorHAnsi" w:hAnsiTheme="majorHAnsi" w:cs="Arial"/>
        </w:rPr>
        <w:t>)</w:t>
      </w:r>
      <w:r w:rsidR="004351CD">
        <w:rPr>
          <w:rFonts w:asciiTheme="majorHAnsi" w:hAnsiTheme="majorHAnsi" w:cs="Arial"/>
        </w:rPr>
        <w:t xml:space="preserve"> </w:t>
      </w:r>
      <w:r w:rsidR="004351CD">
        <w:rPr>
          <w:rFonts w:asciiTheme="majorHAnsi" w:hAnsiTheme="majorHAnsi"/>
        </w:rPr>
        <w:t>where P is the predicted mixed lake total phosphorus concentration, L is the areal total phosphorus load (</w:t>
      </w:r>
      <w:r w:rsidR="004351CD" w:rsidRPr="002D3543">
        <w:rPr>
          <w:rFonts w:asciiTheme="majorHAnsi" w:hAnsiTheme="majorHAnsi" w:cs="Arial"/>
          <w:color w:val="222222"/>
          <w:shd w:val="clear" w:color="auto" w:fill="FFFFFF"/>
        </w:rPr>
        <w:t>mg/m</w:t>
      </w:r>
      <w:r w:rsidR="004351CD" w:rsidRPr="002D3543">
        <w:rPr>
          <w:rFonts w:asciiTheme="majorHAnsi" w:hAnsiTheme="majorHAnsi" w:cs="Arial"/>
          <w:color w:val="222222"/>
          <w:shd w:val="clear" w:color="auto" w:fill="FFFFFF"/>
          <w:vertAlign w:val="superscript"/>
        </w:rPr>
        <w:t>2</w:t>
      </w:r>
      <w:r w:rsidR="004351CD" w:rsidRPr="002D3543">
        <w:rPr>
          <w:rFonts w:asciiTheme="majorHAnsi" w:hAnsiTheme="majorHAnsi" w:cs="Arial"/>
          <w:color w:val="222222"/>
          <w:shd w:val="clear" w:color="auto" w:fill="FFFFFF"/>
        </w:rPr>
        <w:t>-yr.)</w:t>
      </w:r>
      <w:r w:rsidR="004351CD">
        <w:rPr>
          <w:rFonts w:asciiTheme="majorHAnsi" w:hAnsiTheme="majorHAnsi" w:cs="Arial"/>
          <w:color w:val="222222"/>
          <w:shd w:val="clear" w:color="auto" w:fill="FFFFFF"/>
        </w:rPr>
        <w:t xml:space="preserve">, R is the fraction of inflow total phosphorus retained in the lake, and </w:t>
      </w:r>
      <w:proofErr w:type="spellStart"/>
      <w:r w:rsidR="004351CD">
        <w:rPr>
          <w:rFonts w:asciiTheme="majorHAnsi" w:hAnsiTheme="majorHAnsi" w:cs="Arial"/>
          <w:color w:val="222222"/>
          <w:shd w:val="clear" w:color="auto" w:fill="FFFFFF"/>
        </w:rPr>
        <w:t>q</w:t>
      </w:r>
      <w:r w:rsidR="004351CD" w:rsidRPr="004351CD">
        <w:rPr>
          <w:rFonts w:asciiTheme="majorHAnsi" w:hAnsiTheme="majorHAnsi" w:cs="Arial"/>
          <w:color w:val="222222"/>
          <w:shd w:val="clear" w:color="auto" w:fill="FFFFFF"/>
          <w:vertAlign w:val="subscript"/>
        </w:rPr>
        <w:t>s</w:t>
      </w:r>
      <w:proofErr w:type="spellEnd"/>
      <w:r w:rsidR="004351CD">
        <w:rPr>
          <w:rFonts w:asciiTheme="majorHAnsi" w:hAnsiTheme="majorHAnsi" w:cs="Arial"/>
        </w:rPr>
        <w:t xml:space="preserve"> is the areal water loading or surface overflow rate</w:t>
      </w:r>
      <w:r w:rsidRPr="002D3543">
        <w:rPr>
          <w:rFonts w:asciiTheme="majorHAnsi" w:hAnsiTheme="majorHAnsi" w:cs="Arial"/>
        </w:rPr>
        <w:t xml:space="preserve">. </w:t>
      </w:r>
      <w:r w:rsidRPr="002D3543">
        <w:rPr>
          <w:rFonts w:asciiTheme="majorHAnsi" w:hAnsiTheme="majorHAnsi"/>
        </w:rPr>
        <w:t xml:space="preserve">The model predicts the internal load to be </w:t>
      </w:r>
      <w:r w:rsidR="00FC26D5">
        <w:rPr>
          <w:rFonts w:asciiTheme="majorHAnsi" w:hAnsiTheme="majorHAnsi"/>
        </w:rPr>
        <w:t>between 577 kg to -95 kg (or burying phosphorus in the sediment), these numbers were derived by using annual, growing season, and fall increases in water column phosphorus concentrations.</w:t>
      </w:r>
    </w:p>
    <w:p w:rsidR="00FC26D5" w:rsidRDefault="00FC26D5" w:rsidP="004F0EC5">
      <w:pPr>
        <w:rPr>
          <w:rFonts w:asciiTheme="majorHAnsi" w:hAnsiTheme="majorHAnsi"/>
        </w:rPr>
      </w:pPr>
      <w:r>
        <w:rPr>
          <w:noProof/>
        </w:rPr>
        <w:lastRenderedPageBreak/>
        <w:drawing>
          <wp:inline distT="0" distB="0" distL="0" distR="0" wp14:anchorId="537763F5" wp14:editId="65618D19">
            <wp:extent cx="4572000" cy="2743200"/>
            <wp:effectExtent l="0" t="0" r="19050" b="1905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203EAE" w:rsidRDefault="00203EAE" w:rsidP="004F0EC5">
      <w:pPr>
        <w:rPr>
          <w:rFonts w:asciiTheme="majorHAnsi" w:hAnsiTheme="majorHAnsi"/>
        </w:rPr>
      </w:pPr>
      <w:r>
        <w:rPr>
          <w:rFonts w:asciiTheme="majorHAnsi" w:hAnsiTheme="majorHAnsi"/>
        </w:rPr>
        <w:t xml:space="preserve">The Osgood Index of mixing </w:t>
      </w:r>
      <m:oMath>
        <m:r>
          <w:rPr>
            <w:rFonts w:ascii="Cambria Math" w:hAnsi="Cambria Math"/>
          </w:rPr>
          <m:t xml:space="preserve">I= </m:t>
        </m:r>
        <m:f>
          <m:fPr>
            <m:type m:val="lin"/>
            <m:ctrlPr>
              <w:rPr>
                <w:rFonts w:ascii="Cambria Math" w:hAnsi="Cambria Math"/>
                <w:i/>
              </w:rPr>
            </m:ctrlPr>
          </m:fPr>
          <m:num>
            <m:r>
              <w:rPr>
                <w:rFonts w:ascii="Cambria Math" w:hAnsi="Cambria Math"/>
              </w:rPr>
              <m:t>z</m:t>
            </m:r>
          </m:num>
          <m:den>
            <m:rad>
              <m:radPr>
                <m:degHide m:val="1"/>
                <m:ctrlPr>
                  <w:rPr>
                    <w:rFonts w:ascii="Cambria Math" w:hAnsi="Cambria Math"/>
                    <w:i/>
                  </w:rPr>
                </m:ctrlPr>
              </m:radPr>
              <m:deg/>
              <m:e>
                <m:sSup>
                  <m:sSupPr>
                    <m:ctrlPr>
                      <w:rPr>
                        <w:rFonts w:ascii="Cambria Math" w:hAnsi="Cambria Math"/>
                        <w:i/>
                      </w:rPr>
                    </m:ctrlPr>
                  </m:sSupPr>
                  <m:e>
                    <m:r>
                      <w:rPr>
                        <w:rFonts w:ascii="Cambria Math" w:hAnsi="Cambria Math"/>
                      </w:rPr>
                      <m:t>km</m:t>
                    </m:r>
                  </m:e>
                  <m:sup>
                    <m:r>
                      <w:rPr>
                        <w:rFonts w:ascii="Cambria Math" w:hAnsi="Cambria Math"/>
                      </w:rPr>
                      <m:t>2</m:t>
                    </m:r>
                  </m:sup>
                </m:sSup>
              </m:e>
            </m:rad>
          </m:den>
        </m:f>
      </m:oMath>
      <w:r>
        <w:rPr>
          <w:rFonts w:asciiTheme="majorHAnsi" w:hAnsiTheme="majorHAnsi"/>
        </w:rPr>
        <w:t xml:space="preserve"> (where z is mean depth) is a measure of the lake volume in relation to wind fetch.  The chance for mixing </w:t>
      </w:r>
      <w:proofErr w:type="spellStart"/>
      <w:r>
        <w:rPr>
          <w:rFonts w:asciiTheme="majorHAnsi" w:hAnsiTheme="majorHAnsi"/>
        </w:rPr>
        <w:t>hypolimnetic</w:t>
      </w:r>
      <w:proofErr w:type="spellEnd"/>
      <w:r>
        <w:rPr>
          <w:rFonts w:asciiTheme="majorHAnsi" w:hAnsiTheme="majorHAnsi"/>
        </w:rPr>
        <w:t xml:space="preserve"> (bottom water) with </w:t>
      </w:r>
      <w:proofErr w:type="spellStart"/>
      <w:r w:rsidR="00EB6A47">
        <w:rPr>
          <w:rFonts w:asciiTheme="majorHAnsi" w:hAnsiTheme="majorHAnsi"/>
        </w:rPr>
        <w:t>epilimnetic</w:t>
      </w:r>
      <w:proofErr w:type="spellEnd"/>
      <w:r w:rsidR="00EB6A47">
        <w:rPr>
          <w:rFonts w:asciiTheme="majorHAnsi" w:hAnsiTheme="majorHAnsi"/>
        </w:rPr>
        <w:t xml:space="preserve"> (surface water) increases as the ratio of volume to fetch decreases.  Lakes with an </w:t>
      </w:r>
      <w:r w:rsidR="00C10658">
        <w:rPr>
          <w:rFonts w:asciiTheme="majorHAnsi" w:hAnsiTheme="majorHAnsi"/>
        </w:rPr>
        <w:t xml:space="preserve">Osgood Index </w:t>
      </w:r>
      <w:r w:rsidR="00EB6A47">
        <w:rPr>
          <w:rFonts w:asciiTheme="majorHAnsi" w:hAnsiTheme="majorHAnsi"/>
        </w:rPr>
        <w:t xml:space="preserve">of </w:t>
      </w:r>
      <w:r w:rsidR="00C10658">
        <w:rPr>
          <w:rFonts w:asciiTheme="majorHAnsi" w:hAnsiTheme="majorHAnsi"/>
        </w:rPr>
        <w:t xml:space="preserve">less than </w:t>
      </w:r>
      <w:r w:rsidR="00EB6A47">
        <w:rPr>
          <w:rFonts w:asciiTheme="majorHAnsi" w:hAnsiTheme="majorHAnsi"/>
        </w:rPr>
        <w:t xml:space="preserve">6-7 usually have </w:t>
      </w:r>
      <w:proofErr w:type="gramStart"/>
      <w:r w:rsidR="00EB6A47">
        <w:rPr>
          <w:rFonts w:asciiTheme="majorHAnsi" w:hAnsiTheme="majorHAnsi"/>
        </w:rPr>
        <w:t>a summer</w:t>
      </w:r>
      <w:proofErr w:type="gramEnd"/>
      <w:r w:rsidR="00EB6A47">
        <w:rPr>
          <w:rFonts w:asciiTheme="majorHAnsi" w:hAnsiTheme="majorHAnsi"/>
        </w:rPr>
        <w:t xml:space="preserve"> surface water </w:t>
      </w:r>
      <w:r w:rsidR="00C10658">
        <w:rPr>
          <w:rFonts w:asciiTheme="majorHAnsi" w:hAnsiTheme="majorHAnsi"/>
        </w:rPr>
        <w:t>total phosphorus</w:t>
      </w:r>
      <w:r w:rsidR="00EB6A47">
        <w:rPr>
          <w:rFonts w:asciiTheme="majorHAnsi" w:hAnsiTheme="majorHAnsi"/>
        </w:rPr>
        <w:t xml:space="preserve"> that exceed</w:t>
      </w:r>
      <w:r w:rsidR="00045D2D">
        <w:rPr>
          <w:rFonts w:asciiTheme="majorHAnsi" w:hAnsiTheme="majorHAnsi"/>
        </w:rPr>
        <w:t>s</w:t>
      </w:r>
      <w:r w:rsidR="00EB6A47">
        <w:rPr>
          <w:rFonts w:asciiTheme="majorHAnsi" w:hAnsiTheme="majorHAnsi"/>
        </w:rPr>
        <w:t xml:space="preserve"> the concentration predicted from external loading.  Big Blake Lake has an </w:t>
      </w:r>
      <w:r w:rsidR="00C10658">
        <w:rPr>
          <w:rFonts w:asciiTheme="majorHAnsi" w:hAnsiTheme="majorHAnsi"/>
        </w:rPr>
        <w:t xml:space="preserve">Osgood Index </w:t>
      </w:r>
      <w:r w:rsidR="00EB6A47">
        <w:rPr>
          <w:rFonts w:asciiTheme="majorHAnsi" w:hAnsiTheme="majorHAnsi"/>
        </w:rPr>
        <w:t>of 3.</w:t>
      </w:r>
    </w:p>
    <w:p w:rsidR="00FC26D5" w:rsidRDefault="00FC26D5" w:rsidP="004F0EC5">
      <w:pPr>
        <w:rPr>
          <w:rFonts w:asciiTheme="majorHAnsi" w:hAnsiTheme="majorHAnsi"/>
        </w:rPr>
      </w:pPr>
      <w:r>
        <w:rPr>
          <w:rFonts w:asciiTheme="majorHAnsi" w:hAnsiTheme="majorHAnsi"/>
        </w:rPr>
        <w:t>The likely scenario is that the internal loading varies both seasonally and annually depending on growth of curly-leaf pondweed (</w:t>
      </w:r>
      <w:proofErr w:type="spellStart"/>
      <w:r>
        <w:rPr>
          <w:rFonts w:asciiTheme="majorHAnsi" w:hAnsiTheme="majorHAnsi"/>
          <w:i/>
        </w:rPr>
        <w:t>Potamogeton</w:t>
      </w:r>
      <w:proofErr w:type="spellEnd"/>
      <w:r>
        <w:rPr>
          <w:rFonts w:asciiTheme="majorHAnsi" w:hAnsiTheme="majorHAnsi"/>
          <w:i/>
        </w:rPr>
        <w:t xml:space="preserve"> </w:t>
      </w:r>
      <w:proofErr w:type="spellStart"/>
      <w:r>
        <w:rPr>
          <w:rFonts w:asciiTheme="majorHAnsi" w:hAnsiTheme="majorHAnsi"/>
          <w:i/>
        </w:rPr>
        <w:t>crispus</w:t>
      </w:r>
      <w:proofErr w:type="spellEnd"/>
      <w:r>
        <w:rPr>
          <w:rFonts w:asciiTheme="majorHAnsi" w:hAnsiTheme="majorHAnsi"/>
          <w:i/>
        </w:rPr>
        <w:t xml:space="preserve">) </w:t>
      </w:r>
      <w:r>
        <w:rPr>
          <w:rFonts w:asciiTheme="majorHAnsi" w:hAnsiTheme="majorHAnsi"/>
        </w:rPr>
        <w:t xml:space="preserve">and residence time of the water.  Because the outlet was </w:t>
      </w:r>
      <w:r w:rsidR="00872D1B">
        <w:rPr>
          <w:rFonts w:asciiTheme="majorHAnsi" w:hAnsiTheme="majorHAnsi"/>
        </w:rPr>
        <w:t>breached and</w:t>
      </w:r>
      <w:r w:rsidR="005C1E72">
        <w:rPr>
          <w:rFonts w:asciiTheme="majorHAnsi" w:hAnsiTheme="majorHAnsi"/>
        </w:rPr>
        <w:t xml:space="preserve"> the lake stratified at different depths and different times </w:t>
      </w:r>
      <w:r>
        <w:rPr>
          <w:rFonts w:asciiTheme="majorHAnsi" w:hAnsiTheme="majorHAnsi"/>
        </w:rPr>
        <w:t>the internal loading calculations proved to be problematic.</w:t>
      </w:r>
      <w:r w:rsidR="001C63CA">
        <w:rPr>
          <w:rFonts w:asciiTheme="majorHAnsi" w:hAnsiTheme="majorHAnsi"/>
        </w:rPr>
        <w:t xml:space="preserve">  However, taking all calculat</w:t>
      </w:r>
      <w:r w:rsidR="00203EAE">
        <w:rPr>
          <w:rFonts w:asciiTheme="majorHAnsi" w:hAnsiTheme="majorHAnsi"/>
        </w:rPr>
        <w:t>ions and scenarios into account</w:t>
      </w:r>
      <w:r w:rsidR="00872D1B">
        <w:rPr>
          <w:rFonts w:asciiTheme="majorHAnsi" w:hAnsiTheme="majorHAnsi"/>
        </w:rPr>
        <w:t>, the</w:t>
      </w:r>
      <w:r w:rsidR="001C63CA">
        <w:rPr>
          <w:rFonts w:asciiTheme="majorHAnsi" w:hAnsiTheme="majorHAnsi"/>
        </w:rPr>
        <w:t xml:space="preserve"> internal load on Big Blake Lake likely is between 40-120 kg on an annual basis.</w:t>
      </w:r>
    </w:p>
    <w:p w:rsidR="00FC26D5" w:rsidRDefault="006C22C2" w:rsidP="004F0EC5">
      <w:pPr>
        <w:rPr>
          <w:rFonts w:asciiTheme="majorHAnsi" w:hAnsiTheme="majorHAnsi"/>
        </w:rPr>
      </w:pPr>
      <w:r>
        <w:rPr>
          <w:rFonts w:asciiTheme="majorHAnsi" w:hAnsiTheme="majorHAnsi"/>
        </w:rPr>
        <w:t>The data derived from the different loading scenarios can be used to predict the average concentration of phosphorus in the lake’s water column.</w:t>
      </w:r>
    </w:p>
    <w:p w:rsidR="006C22C2" w:rsidRDefault="00214B5E" w:rsidP="004F0EC5">
      <w:pPr>
        <w:rPr>
          <w:rFonts w:asciiTheme="majorHAnsi" w:hAnsiTheme="majorHAnsi" w:cs="Arial"/>
          <w:color w:val="222222"/>
          <w:shd w:val="clear" w:color="auto" w:fill="FFFFFF"/>
        </w:rPr>
      </w:pPr>
      <w:r>
        <w:rPr>
          <w:rFonts w:asciiTheme="majorHAnsi" w:hAnsiTheme="majorHAnsi"/>
        </w:rPr>
        <w:t>The model th</w:t>
      </w:r>
      <w:r w:rsidR="00AF6109">
        <w:rPr>
          <w:rFonts w:asciiTheme="majorHAnsi" w:hAnsiTheme="majorHAnsi"/>
        </w:rPr>
        <w:t>at</w:t>
      </w:r>
      <w:r>
        <w:rPr>
          <w:rFonts w:asciiTheme="majorHAnsi" w:hAnsiTheme="majorHAnsi"/>
        </w:rPr>
        <w:t xml:space="preserve"> fit every scenario was the 1977 </w:t>
      </w:r>
      <w:proofErr w:type="spellStart"/>
      <w:r>
        <w:rPr>
          <w:rFonts w:asciiTheme="majorHAnsi" w:hAnsiTheme="majorHAnsi"/>
        </w:rPr>
        <w:t>Reckhow</w:t>
      </w:r>
      <w:proofErr w:type="spellEnd"/>
      <w:r>
        <w:rPr>
          <w:rFonts w:asciiTheme="majorHAnsi" w:hAnsiTheme="majorHAnsi"/>
        </w:rPr>
        <w:t xml:space="preserve"> model </w:t>
      </w:r>
      <m:oMath>
        <m:r>
          <w:rPr>
            <w:rFonts w:ascii="Cambria Math" w:hAnsi="Cambria Math"/>
          </w:rPr>
          <m:t xml:space="preserve">P= </m:t>
        </m:r>
        <m:f>
          <m:fPr>
            <m:ctrlPr>
              <w:rPr>
                <w:rFonts w:ascii="Cambria Math" w:hAnsi="Cambria Math"/>
                <w:i/>
              </w:rPr>
            </m:ctrlPr>
          </m:fPr>
          <m:num>
            <m:r>
              <w:rPr>
                <w:rFonts w:ascii="Cambria Math" w:hAnsi="Cambria Math"/>
              </w:rPr>
              <m:t>L</m:t>
            </m:r>
          </m:num>
          <m:den>
            <m:f>
              <m:fPr>
                <m:type m:val="lin"/>
                <m:ctrlPr>
                  <w:rPr>
                    <w:rFonts w:ascii="Cambria Math" w:hAnsi="Cambria Math"/>
                    <w:i/>
                  </w:rPr>
                </m:ctrlPr>
              </m:fPr>
              <m:num>
                <m:r>
                  <w:rPr>
                    <w:rFonts w:ascii="Cambria Math" w:hAnsi="Cambria Math"/>
                  </w:rPr>
                  <m:t>0.17z+1.13z</m:t>
                </m:r>
              </m:num>
              <m:den>
                <m:sSub>
                  <m:sSubPr>
                    <m:ctrlPr>
                      <w:rPr>
                        <w:rFonts w:ascii="Cambria Math" w:hAnsi="Cambria Math"/>
                        <w:i/>
                      </w:rPr>
                    </m:ctrlPr>
                  </m:sSubPr>
                  <m:e>
                    <m:r>
                      <w:rPr>
                        <w:rFonts w:ascii="Cambria Math" w:hAnsi="Cambria Math"/>
                      </w:rPr>
                      <m:t>T</m:t>
                    </m:r>
                  </m:e>
                  <m:sub>
                    <m:r>
                      <w:rPr>
                        <w:rFonts w:ascii="Cambria Math" w:hAnsi="Cambria Math"/>
                      </w:rPr>
                      <m:t>w</m:t>
                    </m:r>
                  </m:sub>
                </m:sSub>
              </m:den>
            </m:f>
          </m:den>
        </m:f>
      </m:oMath>
      <w:r>
        <w:rPr>
          <w:rFonts w:asciiTheme="majorHAnsi" w:hAnsiTheme="majorHAnsi"/>
        </w:rPr>
        <w:t xml:space="preserve"> where P is the predicted mixed lake total phosphorus concentration, L is the areal total phosphorus load (</w:t>
      </w:r>
      <w:r w:rsidRPr="002D3543">
        <w:rPr>
          <w:rFonts w:asciiTheme="majorHAnsi" w:hAnsiTheme="majorHAnsi" w:cs="Arial"/>
          <w:color w:val="222222"/>
          <w:shd w:val="clear" w:color="auto" w:fill="FFFFFF"/>
        </w:rPr>
        <w:t>mg/m</w:t>
      </w:r>
      <w:r w:rsidRPr="002D3543">
        <w:rPr>
          <w:rFonts w:asciiTheme="majorHAnsi" w:hAnsiTheme="majorHAnsi" w:cs="Arial"/>
          <w:color w:val="222222"/>
          <w:shd w:val="clear" w:color="auto" w:fill="FFFFFF"/>
          <w:vertAlign w:val="superscript"/>
        </w:rPr>
        <w:t>2</w:t>
      </w:r>
      <w:r w:rsidRPr="002D3543">
        <w:rPr>
          <w:rFonts w:asciiTheme="majorHAnsi" w:hAnsiTheme="majorHAnsi" w:cs="Arial"/>
          <w:color w:val="222222"/>
          <w:shd w:val="clear" w:color="auto" w:fill="FFFFFF"/>
        </w:rPr>
        <w:t xml:space="preserve">-yr.), </w:t>
      </w:r>
      <w:r w:rsidRPr="002D3543">
        <w:rPr>
          <w:rFonts w:asciiTheme="majorHAnsi" w:hAnsiTheme="majorHAnsi" w:cs="Arial"/>
          <w:i/>
          <w:color w:val="222222"/>
          <w:shd w:val="clear" w:color="auto" w:fill="FFFFFF"/>
        </w:rPr>
        <w:t>T</w:t>
      </w:r>
      <w:r w:rsidRPr="002D3543">
        <w:rPr>
          <w:rFonts w:asciiTheme="majorHAnsi" w:hAnsiTheme="majorHAnsi" w:cs="Arial"/>
          <w:i/>
          <w:color w:val="222222"/>
          <w:shd w:val="clear" w:color="auto" w:fill="FFFFFF"/>
          <w:vertAlign w:val="subscript"/>
        </w:rPr>
        <w:t>w</w:t>
      </w:r>
      <w:r w:rsidRPr="002D3543">
        <w:rPr>
          <w:rFonts w:asciiTheme="majorHAnsi" w:hAnsiTheme="majorHAnsi" w:cs="Arial"/>
          <w:color w:val="222222"/>
          <w:shd w:val="clear" w:color="auto" w:fill="FFFFFF"/>
        </w:rPr>
        <w:t xml:space="preserve"> is the lakes hydraulic retention time, and </w:t>
      </w:r>
      <w:r w:rsidRPr="002D3543">
        <w:rPr>
          <w:rFonts w:asciiTheme="majorHAnsi" w:hAnsiTheme="majorHAnsi" w:cs="Arial"/>
          <w:i/>
          <w:color w:val="222222"/>
          <w:shd w:val="clear" w:color="auto" w:fill="FFFFFF"/>
        </w:rPr>
        <w:t>z</w:t>
      </w:r>
      <w:r w:rsidRPr="002D3543">
        <w:rPr>
          <w:rFonts w:asciiTheme="majorHAnsi" w:hAnsiTheme="majorHAnsi" w:cs="Arial"/>
          <w:color w:val="222222"/>
          <w:shd w:val="clear" w:color="auto" w:fill="FFFFFF"/>
        </w:rPr>
        <w:t xml:space="preserve"> is the lakes mean depth.</w:t>
      </w:r>
      <w:r>
        <w:rPr>
          <w:rFonts w:asciiTheme="majorHAnsi" w:hAnsiTheme="majorHAnsi" w:cs="Arial"/>
          <w:color w:val="222222"/>
          <w:shd w:val="clear" w:color="auto" w:fill="FFFFFF"/>
        </w:rPr>
        <w:t xml:space="preserve">  </w:t>
      </w:r>
      <w:r w:rsidR="00EB6A47">
        <w:rPr>
          <w:rFonts w:asciiTheme="majorHAnsi" w:hAnsiTheme="majorHAnsi" w:cs="Arial"/>
          <w:color w:val="222222"/>
          <w:shd w:val="clear" w:color="auto" w:fill="FFFFFF"/>
        </w:rPr>
        <w:t>The model fit best in the 2014 direct drainage scenario</w:t>
      </w:r>
      <w:r w:rsidR="00AF6109">
        <w:rPr>
          <w:rFonts w:asciiTheme="majorHAnsi" w:hAnsiTheme="majorHAnsi" w:cs="Arial"/>
          <w:color w:val="222222"/>
          <w:shd w:val="clear" w:color="auto" w:fill="FFFFFF"/>
        </w:rPr>
        <w:t>, l</w:t>
      </w:r>
      <w:r w:rsidR="00EB6A47">
        <w:rPr>
          <w:rFonts w:asciiTheme="majorHAnsi" w:hAnsiTheme="majorHAnsi" w:cs="Arial"/>
          <w:color w:val="222222"/>
          <w:shd w:val="clear" w:color="auto" w:fill="FFFFFF"/>
        </w:rPr>
        <w:t xml:space="preserve">ikely because the hydraulic retention time was greatly reduced and there was less mixing.  </w:t>
      </w:r>
      <w:r>
        <w:rPr>
          <w:rFonts w:asciiTheme="majorHAnsi" w:hAnsiTheme="majorHAnsi" w:cs="Arial"/>
          <w:color w:val="222222"/>
          <w:shd w:val="clear" w:color="auto" w:fill="FFFFFF"/>
        </w:rPr>
        <w:t xml:space="preserve">The model was used to run several scenarios across all three of the lake study </w:t>
      </w:r>
      <w:r w:rsidR="00AF6109">
        <w:rPr>
          <w:rFonts w:asciiTheme="majorHAnsi" w:hAnsiTheme="majorHAnsi" w:cs="Arial"/>
          <w:color w:val="222222"/>
          <w:shd w:val="clear" w:color="auto" w:fill="FFFFFF"/>
        </w:rPr>
        <w:t xml:space="preserve">years </w:t>
      </w:r>
      <w:r>
        <w:rPr>
          <w:rFonts w:asciiTheme="majorHAnsi" w:hAnsiTheme="majorHAnsi" w:cs="Arial"/>
          <w:color w:val="222222"/>
          <w:shd w:val="clear" w:color="auto" w:fill="FFFFFF"/>
        </w:rPr>
        <w:t>using the nonpoint and point sour</w:t>
      </w:r>
      <w:r w:rsidR="00AF6109">
        <w:rPr>
          <w:rFonts w:asciiTheme="majorHAnsi" w:hAnsiTheme="majorHAnsi" w:cs="Arial"/>
          <w:color w:val="222222"/>
          <w:shd w:val="clear" w:color="auto" w:fill="FFFFFF"/>
        </w:rPr>
        <w:t>ce loading to the lake and 10, 2</w:t>
      </w:r>
      <w:r>
        <w:rPr>
          <w:rFonts w:asciiTheme="majorHAnsi" w:hAnsiTheme="majorHAnsi" w:cs="Arial"/>
          <w:color w:val="222222"/>
          <w:shd w:val="clear" w:color="auto" w:fill="FFFFFF"/>
        </w:rPr>
        <w:t>0, and 40 % reductions in total phosphorus inputs to the water co</w:t>
      </w:r>
      <w:r w:rsidR="00EB6A47">
        <w:rPr>
          <w:rFonts w:asciiTheme="majorHAnsi" w:hAnsiTheme="majorHAnsi" w:cs="Arial"/>
          <w:color w:val="222222"/>
          <w:shd w:val="clear" w:color="auto" w:fill="FFFFFF"/>
        </w:rPr>
        <w:t>l</w:t>
      </w:r>
      <w:r>
        <w:rPr>
          <w:rFonts w:asciiTheme="majorHAnsi" w:hAnsiTheme="majorHAnsi" w:cs="Arial"/>
          <w:color w:val="222222"/>
          <w:shd w:val="clear" w:color="auto" w:fill="FFFFFF"/>
        </w:rPr>
        <w:t>umn.</w:t>
      </w:r>
    </w:p>
    <w:p w:rsidR="00EB6A47" w:rsidRDefault="00EB6A47" w:rsidP="004F0EC5">
      <w:pPr>
        <w:rPr>
          <w:rFonts w:asciiTheme="majorHAnsi" w:hAnsiTheme="majorHAnsi" w:cs="Arial"/>
          <w:color w:val="222222"/>
          <w:shd w:val="clear" w:color="auto" w:fill="FFFFFF"/>
        </w:rPr>
      </w:pPr>
    </w:p>
    <w:p w:rsidR="00EB6A47" w:rsidRDefault="00EB6A47" w:rsidP="004F0EC5">
      <w:pPr>
        <w:rPr>
          <w:rFonts w:asciiTheme="majorHAnsi" w:hAnsiTheme="majorHAnsi" w:cs="Arial"/>
          <w:color w:val="222222"/>
          <w:shd w:val="clear" w:color="auto" w:fill="FFFFFF"/>
        </w:rPr>
      </w:pPr>
    </w:p>
    <w:p w:rsidR="00EB6A47" w:rsidRDefault="00EB6A47" w:rsidP="004F0EC5">
      <w:pPr>
        <w:rPr>
          <w:rFonts w:asciiTheme="majorHAnsi" w:hAnsiTheme="majorHAnsi" w:cs="Arial"/>
          <w:color w:val="222222"/>
          <w:shd w:val="clear" w:color="auto" w:fill="FFFFFF"/>
        </w:rPr>
      </w:pPr>
    </w:p>
    <w:p w:rsidR="00EB6A47" w:rsidRDefault="00EB6A47" w:rsidP="004F0EC5">
      <w:pPr>
        <w:rPr>
          <w:rFonts w:asciiTheme="majorHAnsi" w:hAnsiTheme="majorHAnsi" w:cs="Arial"/>
          <w:color w:val="222222"/>
          <w:shd w:val="clear" w:color="auto" w:fill="FFFFFF"/>
        </w:rPr>
      </w:pPr>
    </w:p>
    <w:tbl>
      <w:tblPr>
        <w:tblStyle w:val="LightList-Accent1"/>
        <w:tblW w:w="6900" w:type="dxa"/>
        <w:tblLook w:val="04A0" w:firstRow="1" w:lastRow="0" w:firstColumn="1" w:lastColumn="0" w:noHBand="0" w:noVBand="1"/>
      </w:tblPr>
      <w:tblGrid>
        <w:gridCol w:w="1146"/>
        <w:gridCol w:w="960"/>
        <w:gridCol w:w="960"/>
        <w:gridCol w:w="960"/>
        <w:gridCol w:w="960"/>
        <w:gridCol w:w="960"/>
        <w:gridCol w:w="960"/>
      </w:tblGrid>
      <w:tr w:rsidR="00214B5E" w:rsidRPr="00214B5E" w:rsidTr="00315B01">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140" w:type="dxa"/>
            <w:noWrap/>
            <w:hideMark/>
          </w:tcPr>
          <w:p w:rsidR="00214B5E" w:rsidRPr="00214B5E" w:rsidRDefault="00214B5E" w:rsidP="00214B5E">
            <w:pPr>
              <w:rPr>
                <w:rFonts w:ascii="Calibri" w:eastAsia="Times New Roman" w:hAnsi="Calibri" w:cs="Times New Roman"/>
                <w:color w:val="000000"/>
              </w:rPr>
            </w:pPr>
            <w:r w:rsidRPr="00214B5E">
              <w:rPr>
                <w:rFonts w:ascii="Calibri" w:eastAsia="Times New Roman" w:hAnsi="Calibri" w:cs="Times New Roman"/>
                <w:color w:val="000000"/>
              </w:rPr>
              <w:t> </w:t>
            </w:r>
          </w:p>
        </w:tc>
        <w:tc>
          <w:tcPr>
            <w:tcW w:w="960" w:type="dxa"/>
            <w:noWrap/>
            <w:hideMark/>
          </w:tcPr>
          <w:p w:rsidR="00214B5E" w:rsidRPr="00214B5E" w:rsidRDefault="00214B5E" w:rsidP="00214B5E">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214B5E">
              <w:rPr>
                <w:rFonts w:ascii="Calibri" w:eastAsia="Times New Roman" w:hAnsi="Calibri" w:cs="Times New Roman"/>
                <w:color w:val="000000"/>
              </w:rPr>
              <w:t xml:space="preserve">2013 L </w:t>
            </w:r>
          </w:p>
        </w:tc>
        <w:tc>
          <w:tcPr>
            <w:tcW w:w="960" w:type="dxa"/>
            <w:noWrap/>
            <w:hideMark/>
          </w:tcPr>
          <w:p w:rsidR="00214B5E" w:rsidRPr="00214B5E" w:rsidRDefault="00214B5E" w:rsidP="00214B5E">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214B5E">
              <w:rPr>
                <w:rFonts w:ascii="Calibri" w:eastAsia="Times New Roman" w:hAnsi="Calibri" w:cs="Times New Roman"/>
                <w:color w:val="000000"/>
              </w:rPr>
              <w:t>2013 D</w:t>
            </w:r>
          </w:p>
        </w:tc>
        <w:tc>
          <w:tcPr>
            <w:tcW w:w="960" w:type="dxa"/>
            <w:noWrap/>
            <w:hideMark/>
          </w:tcPr>
          <w:p w:rsidR="00214B5E" w:rsidRPr="00214B5E" w:rsidRDefault="00214B5E" w:rsidP="00214B5E">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214B5E">
              <w:rPr>
                <w:rFonts w:ascii="Calibri" w:eastAsia="Times New Roman" w:hAnsi="Calibri" w:cs="Times New Roman"/>
                <w:color w:val="000000"/>
              </w:rPr>
              <w:t>2014 L</w:t>
            </w:r>
          </w:p>
        </w:tc>
        <w:tc>
          <w:tcPr>
            <w:tcW w:w="960" w:type="dxa"/>
            <w:noWrap/>
            <w:hideMark/>
          </w:tcPr>
          <w:p w:rsidR="00214B5E" w:rsidRPr="00214B5E" w:rsidRDefault="00214B5E" w:rsidP="00214B5E">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214B5E">
              <w:rPr>
                <w:rFonts w:ascii="Calibri" w:eastAsia="Times New Roman" w:hAnsi="Calibri" w:cs="Times New Roman"/>
                <w:color w:val="000000"/>
              </w:rPr>
              <w:t>2014 D</w:t>
            </w:r>
          </w:p>
        </w:tc>
        <w:tc>
          <w:tcPr>
            <w:tcW w:w="960" w:type="dxa"/>
            <w:noWrap/>
            <w:hideMark/>
          </w:tcPr>
          <w:p w:rsidR="00214B5E" w:rsidRPr="00214B5E" w:rsidRDefault="00214B5E" w:rsidP="00214B5E">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214B5E">
              <w:rPr>
                <w:rFonts w:ascii="Calibri" w:eastAsia="Times New Roman" w:hAnsi="Calibri" w:cs="Times New Roman"/>
                <w:color w:val="000000"/>
              </w:rPr>
              <w:t>2015 L</w:t>
            </w:r>
          </w:p>
        </w:tc>
        <w:tc>
          <w:tcPr>
            <w:tcW w:w="960" w:type="dxa"/>
            <w:noWrap/>
            <w:hideMark/>
          </w:tcPr>
          <w:p w:rsidR="00214B5E" w:rsidRPr="00214B5E" w:rsidRDefault="00214B5E" w:rsidP="00214B5E">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214B5E">
              <w:rPr>
                <w:rFonts w:ascii="Calibri" w:eastAsia="Times New Roman" w:hAnsi="Calibri" w:cs="Times New Roman"/>
                <w:color w:val="000000"/>
              </w:rPr>
              <w:t>2015 D</w:t>
            </w:r>
          </w:p>
        </w:tc>
      </w:tr>
      <w:tr w:rsidR="00214B5E" w:rsidRPr="00214B5E" w:rsidTr="00315B0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140" w:type="dxa"/>
            <w:noWrap/>
            <w:hideMark/>
          </w:tcPr>
          <w:p w:rsidR="00214B5E" w:rsidRPr="00214B5E" w:rsidRDefault="00214B5E" w:rsidP="00214B5E">
            <w:pPr>
              <w:rPr>
                <w:rFonts w:ascii="Calibri" w:eastAsia="Times New Roman" w:hAnsi="Calibri" w:cs="Times New Roman"/>
                <w:color w:val="000000"/>
              </w:rPr>
            </w:pPr>
            <w:r w:rsidRPr="00214B5E">
              <w:rPr>
                <w:rFonts w:ascii="Calibri" w:eastAsia="Times New Roman" w:hAnsi="Calibri" w:cs="Times New Roman"/>
                <w:color w:val="000000"/>
              </w:rPr>
              <w:t>Ext</w:t>
            </w:r>
            <w:r w:rsidR="00AF6109">
              <w:rPr>
                <w:rFonts w:ascii="Calibri" w:eastAsia="Times New Roman" w:hAnsi="Calibri" w:cs="Times New Roman"/>
                <w:color w:val="000000"/>
              </w:rPr>
              <w:t>ernal</w:t>
            </w:r>
          </w:p>
        </w:tc>
        <w:tc>
          <w:tcPr>
            <w:tcW w:w="960" w:type="dxa"/>
            <w:noWrap/>
            <w:hideMark/>
          </w:tcPr>
          <w:p w:rsidR="00214B5E" w:rsidRPr="00214B5E" w:rsidRDefault="00214B5E" w:rsidP="00214B5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sidRPr="00214B5E">
              <w:rPr>
                <w:rFonts w:ascii="Calibri" w:eastAsia="Times New Roman" w:hAnsi="Calibri" w:cs="Times New Roman"/>
                <w:color w:val="000000"/>
              </w:rPr>
              <w:t>77.91</w:t>
            </w:r>
          </w:p>
        </w:tc>
        <w:tc>
          <w:tcPr>
            <w:tcW w:w="960" w:type="dxa"/>
            <w:noWrap/>
            <w:hideMark/>
          </w:tcPr>
          <w:p w:rsidR="00214B5E" w:rsidRPr="00214B5E" w:rsidRDefault="00214B5E" w:rsidP="00214B5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sidRPr="00214B5E">
              <w:rPr>
                <w:rFonts w:ascii="Calibri" w:eastAsia="Times New Roman" w:hAnsi="Calibri" w:cs="Times New Roman"/>
                <w:color w:val="000000"/>
              </w:rPr>
              <w:t>24.76</w:t>
            </w:r>
          </w:p>
        </w:tc>
        <w:tc>
          <w:tcPr>
            <w:tcW w:w="960" w:type="dxa"/>
            <w:noWrap/>
            <w:hideMark/>
          </w:tcPr>
          <w:p w:rsidR="00214B5E" w:rsidRPr="00214B5E" w:rsidRDefault="00214B5E" w:rsidP="00214B5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sidRPr="00214B5E">
              <w:rPr>
                <w:rFonts w:ascii="Calibri" w:eastAsia="Times New Roman" w:hAnsi="Calibri" w:cs="Times New Roman"/>
                <w:color w:val="000000"/>
              </w:rPr>
              <w:t>77.91</w:t>
            </w:r>
          </w:p>
        </w:tc>
        <w:tc>
          <w:tcPr>
            <w:tcW w:w="960" w:type="dxa"/>
            <w:noWrap/>
            <w:hideMark/>
          </w:tcPr>
          <w:p w:rsidR="00214B5E" w:rsidRPr="00214B5E" w:rsidRDefault="00214B5E" w:rsidP="00214B5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sidRPr="00214B5E">
              <w:rPr>
                <w:rFonts w:ascii="Calibri" w:eastAsia="Times New Roman" w:hAnsi="Calibri" w:cs="Times New Roman"/>
                <w:color w:val="000000"/>
              </w:rPr>
              <w:t>44.57</w:t>
            </w:r>
          </w:p>
        </w:tc>
        <w:tc>
          <w:tcPr>
            <w:tcW w:w="960" w:type="dxa"/>
            <w:noWrap/>
            <w:hideMark/>
          </w:tcPr>
          <w:p w:rsidR="00214B5E" w:rsidRPr="00214B5E" w:rsidRDefault="00214B5E" w:rsidP="00214B5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sidRPr="00214B5E">
              <w:rPr>
                <w:rFonts w:ascii="Calibri" w:eastAsia="Times New Roman" w:hAnsi="Calibri" w:cs="Times New Roman"/>
                <w:color w:val="000000"/>
              </w:rPr>
              <w:t>77.91</w:t>
            </w:r>
          </w:p>
        </w:tc>
        <w:tc>
          <w:tcPr>
            <w:tcW w:w="960" w:type="dxa"/>
            <w:noWrap/>
            <w:hideMark/>
          </w:tcPr>
          <w:p w:rsidR="00214B5E" w:rsidRPr="00214B5E" w:rsidRDefault="00214B5E" w:rsidP="00214B5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sidRPr="00214B5E">
              <w:rPr>
                <w:rFonts w:ascii="Calibri" w:eastAsia="Times New Roman" w:hAnsi="Calibri" w:cs="Times New Roman"/>
                <w:color w:val="000000"/>
              </w:rPr>
              <w:t>37.3</w:t>
            </w:r>
          </w:p>
        </w:tc>
      </w:tr>
      <w:tr w:rsidR="00214B5E" w:rsidRPr="00214B5E" w:rsidTr="00315B01">
        <w:trPr>
          <w:trHeight w:val="300"/>
        </w:trPr>
        <w:tc>
          <w:tcPr>
            <w:cnfStyle w:val="001000000000" w:firstRow="0" w:lastRow="0" w:firstColumn="1" w:lastColumn="0" w:oddVBand="0" w:evenVBand="0" w:oddHBand="0" w:evenHBand="0" w:firstRowFirstColumn="0" w:firstRowLastColumn="0" w:lastRowFirstColumn="0" w:lastRowLastColumn="0"/>
            <w:tcW w:w="1140" w:type="dxa"/>
            <w:noWrap/>
            <w:hideMark/>
          </w:tcPr>
          <w:p w:rsidR="00214B5E" w:rsidRPr="00214B5E" w:rsidRDefault="00214B5E" w:rsidP="00214B5E">
            <w:pPr>
              <w:rPr>
                <w:rFonts w:ascii="Calibri" w:eastAsia="Times New Roman" w:hAnsi="Calibri" w:cs="Times New Roman"/>
                <w:color w:val="000000"/>
              </w:rPr>
            </w:pPr>
            <w:r w:rsidRPr="00214B5E">
              <w:rPr>
                <w:rFonts w:ascii="Calibri" w:eastAsia="Times New Roman" w:hAnsi="Calibri" w:cs="Times New Roman"/>
                <w:color w:val="000000"/>
              </w:rPr>
              <w:t>Ext</w:t>
            </w:r>
            <w:r w:rsidR="00AF6109">
              <w:rPr>
                <w:rFonts w:ascii="Calibri" w:eastAsia="Times New Roman" w:hAnsi="Calibri" w:cs="Times New Roman"/>
                <w:color w:val="000000"/>
              </w:rPr>
              <w:t>ernal</w:t>
            </w:r>
            <w:r w:rsidRPr="00214B5E">
              <w:rPr>
                <w:rFonts w:ascii="Calibri" w:eastAsia="Times New Roman" w:hAnsi="Calibri" w:cs="Times New Roman"/>
                <w:color w:val="000000"/>
              </w:rPr>
              <w:t xml:space="preserve"> + Int</w:t>
            </w:r>
            <w:r w:rsidR="00AF6109">
              <w:rPr>
                <w:rFonts w:ascii="Calibri" w:eastAsia="Times New Roman" w:hAnsi="Calibri" w:cs="Times New Roman"/>
                <w:color w:val="000000"/>
              </w:rPr>
              <w:t>ernal</w:t>
            </w:r>
          </w:p>
        </w:tc>
        <w:tc>
          <w:tcPr>
            <w:tcW w:w="960" w:type="dxa"/>
            <w:noWrap/>
            <w:hideMark/>
          </w:tcPr>
          <w:p w:rsidR="00214B5E" w:rsidRPr="00214B5E" w:rsidRDefault="00214B5E" w:rsidP="00214B5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214B5E">
              <w:rPr>
                <w:rFonts w:ascii="Calibri" w:eastAsia="Times New Roman" w:hAnsi="Calibri" w:cs="Times New Roman"/>
                <w:color w:val="000000"/>
              </w:rPr>
              <w:t>87.37</w:t>
            </w:r>
          </w:p>
        </w:tc>
        <w:tc>
          <w:tcPr>
            <w:tcW w:w="960" w:type="dxa"/>
            <w:noWrap/>
            <w:hideMark/>
          </w:tcPr>
          <w:p w:rsidR="00214B5E" w:rsidRPr="00214B5E" w:rsidRDefault="00214B5E" w:rsidP="00214B5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214B5E">
              <w:rPr>
                <w:rFonts w:ascii="Calibri" w:eastAsia="Times New Roman" w:hAnsi="Calibri" w:cs="Times New Roman"/>
                <w:color w:val="000000"/>
              </w:rPr>
              <w:t>25.43</w:t>
            </w:r>
          </w:p>
        </w:tc>
        <w:tc>
          <w:tcPr>
            <w:tcW w:w="960" w:type="dxa"/>
            <w:noWrap/>
            <w:hideMark/>
          </w:tcPr>
          <w:p w:rsidR="00214B5E" w:rsidRPr="00214B5E" w:rsidRDefault="00214B5E" w:rsidP="00214B5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214B5E">
              <w:rPr>
                <w:rFonts w:ascii="Calibri" w:eastAsia="Times New Roman" w:hAnsi="Calibri" w:cs="Times New Roman"/>
                <w:color w:val="000000"/>
              </w:rPr>
              <w:t>79.78</w:t>
            </w:r>
          </w:p>
        </w:tc>
        <w:tc>
          <w:tcPr>
            <w:tcW w:w="960" w:type="dxa"/>
            <w:noWrap/>
            <w:hideMark/>
          </w:tcPr>
          <w:p w:rsidR="00214B5E" w:rsidRPr="00214B5E" w:rsidRDefault="00214B5E" w:rsidP="00214B5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214B5E">
              <w:rPr>
                <w:rFonts w:ascii="Calibri" w:eastAsia="Times New Roman" w:hAnsi="Calibri" w:cs="Times New Roman"/>
                <w:color w:val="000000"/>
              </w:rPr>
              <w:t>44.57</w:t>
            </w:r>
          </w:p>
        </w:tc>
        <w:tc>
          <w:tcPr>
            <w:tcW w:w="960" w:type="dxa"/>
            <w:noWrap/>
            <w:hideMark/>
          </w:tcPr>
          <w:p w:rsidR="00214B5E" w:rsidRPr="00214B5E" w:rsidRDefault="00214B5E" w:rsidP="00214B5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214B5E">
              <w:rPr>
                <w:rFonts w:ascii="Calibri" w:eastAsia="Times New Roman" w:hAnsi="Calibri" w:cs="Times New Roman"/>
                <w:color w:val="000000"/>
              </w:rPr>
              <w:t>84.98</w:t>
            </w:r>
          </w:p>
        </w:tc>
        <w:tc>
          <w:tcPr>
            <w:tcW w:w="960" w:type="dxa"/>
            <w:noWrap/>
            <w:hideMark/>
          </w:tcPr>
          <w:p w:rsidR="00214B5E" w:rsidRPr="00214B5E" w:rsidRDefault="00214B5E" w:rsidP="00214B5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214B5E">
              <w:rPr>
                <w:rFonts w:ascii="Calibri" w:eastAsia="Times New Roman" w:hAnsi="Calibri" w:cs="Times New Roman"/>
                <w:color w:val="000000"/>
              </w:rPr>
              <w:t>37.55</w:t>
            </w:r>
          </w:p>
        </w:tc>
      </w:tr>
      <w:tr w:rsidR="00214B5E" w:rsidRPr="00214B5E" w:rsidTr="00315B0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140" w:type="dxa"/>
            <w:noWrap/>
            <w:hideMark/>
          </w:tcPr>
          <w:p w:rsidR="00214B5E" w:rsidRPr="00214B5E" w:rsidRDefault="00214B5E" w:rsidP="00214B5E">
            <w:pPr>
              <w:rPr>
                <w:rFonts w:ascii="Calibri" w:eastAsia="Times New Roman" w:hAnsi="Calibri" w:cs="Times New Roman"/>
                <w:color w:val="000000"/>
              </w:rPr>
            </w:pPr>
            <w:r w:rsidRPr="00214B5E">
              <w:rPr>
                <w:rFonts w:ascii="Calibri" w:eastAsia="Times New Roman" w:hAnsi="Calibri" w:cs="Times New Roman"/>
                <w:color w:val="000000"/>
              </w:rPr>
              <w:t>10% Reduct</w:t>
            </w:r>
            <w:r w:rsidR="00AF6109">
              <w:rPr>
                <w:rFonts w:ascii="Calibri" w:eastAsia="Times New Roman" w:hAnsi="Calibri" w:cs="Times New Roman"/>
                <w:color w:val="000000"/>
              </w:rPr>
              <w:t>ion</w:t>
            </w:r>
          </w:p>
        </w:tc>
        <w:tc>
          <w:tcPr>
            <w:tcW w:w="960" w:type="dxa"/>
            <w:noWrap/>
            <w:hideMark/>
          </w:tcPr>
          <w:p w:rsidR="00214B5E" w:rsidRPr="00214B5E" w:rsidRDefault="00214B5E" w:rsidP="00214B5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sidRPr="00214B5E">
              <w:rPr>
                <w:rFonts w:ascii="Calibri" w:eastAsia="Times New Roman" w:hAnsi="Calibri" w:cs="Times New Roman"/>
                <w:color w:val="000000"/>
              </w:rPr>
              <w:t>79.58</w:t>
            </w:r>
          </w:p>
        </w:tc>
        <w:tc>
          <w:tcPr>
            <w:tcW w:w="960" w:type="dxa"/>
            <w:noWrap/>
            <w:hideMark/>
          </w:tcPr>
          <w:p w:rsidR="00214B5E" w:rsidRPr="00214B5E" w:rsidRDefault="00214B5E" w:rsidP="00214B5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sidRPr="00214B5E">
              <w:rPr>
                <w:rFonts w:ascii="Calibri" w:eastAsia="Times New Roman" w:hAnsi="Calibri" w:cs="Times New Roman"/>
                <w:color w:val="000000"/>
              </w:rPr>
              <w:t>22.96</w:t>
            </w:r>
          </w:p>
        </w:tc>
        <w:tc>
          <w:tcPr>
            <w:tcW w:w="960" w:type="dxa"/>
            <w:noWrap/>
            <w:hideMark/>
          </w:tcPr>
          <w:p w:rsidR="00214B5E" w:rsidRPr="00214B5E" w:rsidRDefault="00214B5E" w:rsidP="00214B5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sidRPr="00214B5E">
              <w:rPr>
                <w:rFonts w:ascii="Calibri" w:eastAsia="Times New Roman" w:hAnsi="Calibri" w:cs="Times New Roman"/>
                <w:color w:val="000000"/>
              </w:rPr>
              <w:t>71.98</w:t>
            </w:r>
          </w:p>
        </w:tc>
        <w:tc>
          <w:tcPr>
            <w:tcW w:w="960" w:type="dxa"/>
            <w:noWrap/>
            <w:hideMark/>
          </w:tcPr>
          <w:p w:rsidR="00214B5E" w:rsidRPr="00214B5E" w:rsidRDefault="00214B5E" w:rsidP="00214B5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sidRPr="00214B5E">
              <w:rPr>
                <w:rFonts w:ascii="Calibri" w:eastAsia="Times New Roman" w:hAnsi="Calibri" w:cs="Times New Roman"/>
                <w:color w:val="000000"/>
              </w:rPr>
              <w:t>40.12</w:t>
            </w:r>
          </w:p>
        </w:tc>
        <w:tc>
          <w:tcPr>
            <w:tcW w:w="960" w:type="dxa"/>
            <w:noWrap/>
            <w:hideMark/>
          </w:tcPr>
          <w:p w:rsidR="00214B5E" w:rsidRPr="00214B5E" w:rsidRDefault="00214B5E" w:rsidP="00214B5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sidRPr="00214B5E">
              <w:rPr>
                <w:rFonts w:ascii="Calibri" w:eastAsia="Times New Roman" w:hAnsi="Calibri" w:cs="Times New Roman"/>
                <w:color w:val="000000"/>
              </w:rPr>
              <w:t>77.19</w:t>
            </w:r>
          </w:p>
        </w:tc>
        <w:tc>
          <w:tcPr>
            <w:tcW w:w="960" w:type="dxa"/>
            <w:noWrap/>
            <w:hideMark/>
          </w:tcPr>
          <w:p w:rsidR="00214B5E" w:rsidRPr="00214B5E" w:rsidRDefault="00214B5E" w:rsidP="00214B5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sidRPr="00214B5E">
              <w:rPr>
                <w:rFonts w:ascii="Calibri" w:eastAsia="Times New Roman" w:hAnsi="Calibri" w:cs="Times New Roman"/>
                <w:color w:val="000000"/>
              </w:rPr>
              <w:t>33.82</w:t>
            </w:r>
          </w:p>
        </w:tc>
      </w:tr>
      <w:tr w:rsidR="00214B5E" w:rsidRPr="00214B5E" w:rsidTr="00315B01">
        <w:trPr>
          <w:trHeight w:val="300"/>
        </w:trPr>
        <w:tc>
          <w:tcPr>
            <w:cnfStyle w:val="001000000000" w:firstRow="0" w:lastRow="0" w:firstColumn="1" w:lastColumn="0" w:oddVBand="0" w:evenVBand="0" w:oddHBand="0" w:evenHBand="0" w:firstRowFirstColumn="0" w:firstRowLastColumn="0" w:lastRowFirstColumn="0" w:lastRowLastColumn="0"/>
            <w:tcW w:w="1140" w:type="dxa"/>
            <w:noWrap/>
            <w:hideMark/>
          </w:tcPr>
          <w:p w:rsidR="00214B5E" w:rsidRPr="00214B5E" w:rsidRDefault="00214B5E" w:rsidP="00214B5E">
            <w:pPr>
              <w:rPr>
                <w:rFonts w:ascii="Calibri" w:eastAsia="Times New Roman" w:hAnsi="Calibri" w:cs="Times New Roman"/>
                <w:color w:val="000000"/>
              </w:rPr>
            </w:pPr>
            <w:r w:rsidRPr="00214B5E">
              <w:rPr>
                <w:rFonts w:ascii="Calibri" w:eastAsia="Times New Roman" w:hAnsi="Calibri" w:cs="Times New Roman"/>
                <w:color w:val="000000"/>
              </w:rPr>
              <w:t>20% Reduct</w:t>
            </w:r>
            <w:r w:rsidR="00AF6109">
              <w:rPr>
                <w:rFonts w:ascii="Calibri" w:eastAsia="Times New Roman" w:hAnsi="Calibri" w:cs="Times New Roman"/>
                <w:color w:val="000000"/>
              </w:rPr>
              <w:t>ion</w:t>
            </w:r>
          </w:p>
        </w:tc>
        <w:tc>
          <w:tcPr>
            <w:tcW w:w="960" w:type="dxa"/>
            <w:noWrap/>
            <w:hideMark/>
          </w:tcPr>
          <w:p w:rsidR="00214B5E" w:rsidRPr="00214B5E" w:rsidRDefault="00214B5E" w:rsidP="00214B5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214B5E">
              <w:rPr>
                <w:rFonts w:ascii="Calibri" w:eastAsia="Times New Roman" w:hAnsi="Calibri" w:cs="Times New Roman"/>
                <w:color w:val="000000"/>
              </w:rPr>
              <w:t>71.79</w:t>
            </w:r>
          </w:p>
        </w:tc>
        <w:tc>
          <w:tcPr>
            <w:tcW w:w="960" w:type="dxa"/>
            <w:noWrap/>
            <w:hideMark/>
          </w:tcPr>
          <w:p w:rsidR="00214B5E" w:rsidRPr="00214B5E" w:rsidRDefault="00214B5E" w:rsidP="00214B5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214B5E">
              <w:rPr>
                <w:rFonts w:ascii="Calibri" w:eastAsia="Times New Roman" w:hAnsi="Calibri" w:cs="Times New Roman"/>
                <w:color w:val="000000"/>
              </w:rPr>
              <w:t>20.48</w:t>
            </w:r>
          </w:p>
        </w:tc>
        <w:tc>
          <w:tcPr>
            <w:tcW w:w="960" w:type="dxa"/>
            <w:noWrap/>
            <w:hideMark/>
          </w:tcPr>
          <w:p w:rsidR="00214B5E" w:rsidRPr="00214B5E" w:rsidRDefault="00214B5E" w:rsidP="00214B5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214B5E">
              <w:rPr>
                <w:rFonts w:ascii="Calibri" w:eastAsia="Times New Roman" w:hAnsi="Calibri" w:cs="Times New Roman"/>
                <w:color w:val="000000"/>
              </w:rPr>
              <w:t>64.19</w:t>
            </w:r>
          </w:p>
        </w:tc>
        <w:tc>
          <w:tcPr>
            <w:tcW w:w="960" w:type="dxa"/>
            <w:noWrap/>
            <w:hideMark/>
          </w:tcPr>
          <w:p w:rsidR="00214B5E" w:rsidRPr="00214B5E" w:rsidRDefault="00214B5E" w:rsidP="00214B5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214B5E">
              <w:rPr>
                <w:rFonts w:ascii="Calibri" w:eastAsia="Times New Roman" w:hAnsi="Calibri" w:cs="Times New Roman"/>
                <w:color w:val="000000"/>
              </w:rPr>
              <w:t>35.66</w:t>
            </w:r>
          </w:p>
        </w:tc>
        <w:tc>
          <w:tcPr>
            <w:tcW w:w="960" w:type="dxa"/>
            <w:noWrap/>
            <w:hideMark/>
          </w:tcPr>
          <w:p w:rsidR="00214B5E" w:rsidRPr="00214B5E" w:rsidRDefault="00214B5E" w:rsidP="00214B5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214B5E">
              <w:rPr>
                <w:rFonts w:ascii="Calibri" w:eastAsia="Times New Roman" w:hAnsi="Calibri" w:cs="Times New Roman"/>
                <w:color w:val="000000"/>
              </w:rPr>
              <w:t>69.4</w:t>
            </w:r>
          </w:p>
        </w:tc>
        <w:tc>
          <w:tcPr>
            <w:tcW w:w="960" w:type="dxa"/>
            <w:noWrap/>
            <w:hideMark/>
          </w:tcPr>
          <w:p w:rsidR="00214B5E" w:rsidRPr="00214B5E" w:rsidRDefault="00214B5E" w:rsidP="00214B5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214B5E">
              <w:rPr>
                <w:rFonts w:ascii="Calibri" w:eastAsia="Times New Roman" w:hAnsi="Calibri" w:cs="Times New Roman"/>
                <w:color w:val="000000"/>
              </w:rPr>
              <w:t>30.09</w:t>
            </w:r>
          </w:p>
        </w:tc>
      </w:tr>
      <w:tr w:rsidR="00214B5E" w:rsidRPr="00214B5E" w:rsidTr="00315B0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140" w:type="dxa"/>
            <w:noWrap/>
            <w:hideMark/>
          </w:tcPr>
          <w:p w:rsidR="00214B5E" w:rsidRPr="00214B5E" w:rsidRDefault="00214B5E" w:rsidP="00214B5E">
            <w:pPr>
              <w:rPr>
                <w:rFonts w:ascii="Calibri" w:eastAsia="Times New Roman" w:hAnsi="Calibri" w:cs="Times New Roman"/>
                <w:color w:val="000000"/>
              </w:rPr>
            </w:pPr>
            <w:r w:rsidRPr="00214B5E">
              <w:rPr>
                <w:rFonts w:ascii="Calibri" w:eastAsia="Times New Roman" w:hAnsi="Calibri" w:cs="Times New Roman"/>
                <w:color w:val="000000"/>
              </w:rPr>
              <w:t>40% Reduct</w:t>
            </w:r>
            <w:r w:rsidR="00AF6109">
              <w:rPr>
                <w:rFonts w:ascii="Calibri" w:eastAsia="Times New Roman" w:hAnsi="Calibri" w:cs="Times New Roman"/>
                <w:color w:val="000000"/>
              </w:rPr>
              <w:t>ion</w:t>
            </w:r>
          </w:p>
        </w:tc>
        <w:tc>
          <w:tcPr>
            <w:tcW w:w="960" w:type="dxa"/>
            <w:noWrap/>
            <w:hideMark/>
          </w:tcPr>
          <w:p w:rsidR="00214B5E" w:rsidRPr="00214B5E" w:rsidRDefault="00214B5E" w:rsidP="00214B5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sidRPr="00214B5E">
              <w:rPr>
                <w:rFonts w:ascii="Calibri" w:eastAsia="Times New Roman" w:hAnsi="Calibri" w:cs="Times New Roman"/>
                <w:color w:val="000000"/>
              </w:rPr>
              <w:t>56.21</w:t>
            </w:r>
          </w:p>
        </w:tc>
        <w:tc>
          <w:tcPr>
            <w:tcW w:w="960" w:type="dxa"/>
            <w:noWrap/>
            <w:hideMark/>
          </w:tcPr>
          <w:p w:rsidR="00214B5E" w:rsidRPr="00214B5E" w:rsidRDefault="00214B5E" w:rsidP="00214B5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sidRPr="00214B5E">
              <w:rPr>
                <w:rFonts w:ascii="Calibri" w:eastAsia="Times New Roman" w:hAnsi="Calibri" w:cs="Times New Roman"/>
                <w:color w:val="000000"/>
              </w:rPr>
              <w:t>15.53</w:t>
            </w:r>
          </w:p>
        </w:tc>
        <w:tc>
          <w:tcPr>
            <w:tcW w:w="960" w:type="dxa"/>
            <w:noWrap/>
            <w:hideMark/>
          </w:tcPr>
          <w:p w:rsidR="00214B5E" w:rsidRPr="00214B5E" w:rsidRDefault="00214B5E" w:rsidP="00214B5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sidRPr="00214B5E">
              <w:rPr>
                <w:rFonts w:ascii="Calibri" w:eastAsia="Times New Roman" w:hAnsi="Calibri" w:cs="Times New Roman"/>
                <w:color w:val="000000"/>
              </w:rPr>
              <w:t>48.61</w:t>
            </w:r>
          </w:p>
        </w:tc>
        <w:tc>
          <w:tcPr>
            <w:tcW w:w="960" w:type="dxa"/>
            <w:noWrap/>
            <w:hideMark/>
          </w:tcPr>
          <w:p w:rsidR="00214B5E" w:rsidRPr="00214B5E" w:rsidRDefault="00214B5E" w:rsidP="00214B5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sidRPr="00214B5E">
              <w:rPr>
                <w:rFonts w:ascii="Calibri" w:eastAsia="Times New Roman" w:hAnsi="Calibri" w:cs="Times New Roman"/>
                <w:color w:val="000000"/>
              </w:rPr>
              <w:t>26.74</w:t>
            </w:r>
          </w:p>
        </w:tc>
        <w:tc>
          <w:tcPr>
            <w:tcW w:w="960" w:type="dxa"/>
            <w:noWrap/>
            <w:hideMark/>
          </w:tcPr>
          <w:p w:rsidR="00214B5E" w:rsidRPr="00214B5E" w:rsidRDefault="00214B5E" w:rsidP="00214B5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sidRPr="00214B5E">
              <w:rPr>
                <w:rFonts w:ascii="Calibri" w:eastAsia="Times New Roman" w:hAnsi="Calibri" w:cs="Times New Roman"/>
                <w:color w:val="000000"/>
              </w:rPr>
              <w:t>53.81</w:t>
            </w:r>
          </w:p>
        </w:tc>
        <w:tc>
          <w:tcPr>
            <w:tcW w:w="960" w:type="dxa"/>
            <w:noWrap/>
            <w:hideMark/>
          </w:tcPr>
          <w:p w:rsidR="00214B5E" w:rsidRPr="00214B5E" w:rsidRDefault="00214B5E" w:rsidP="00214B5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sidRPr="00214B5E">
              <w:rPr>
                <w:rFonts w:ascii="Calibri" w:eastAsia="Times New Roman" w:hAnsi="Calibri" w:cs="Times New Roman"/>
                <w:color w:val="000000"/>
              </w:rPr>
              <w:t>22.63</w:t>
            </w:r>
          </w:p>
        </w:tc>
      </w:tr>
    </w:tbl>
    <w:p w:rsidR="00214B5E" w:rsidRDefault="00214B5E" w:rsidP="004F0EC5">
      <w:pPr>
        <w:rPr>
          <w:rFonts w:asciiTheme="majorHAnsi" w:hAnsiTheme="majorHAnsi" w:cs="Arial"/>
          <w:color w:val="222222"/>
          <w:shd w:val="clear" w:color="auto" w:fill="FFFFFF"/>
        </w:rPr>
      </w:pPr>
    </w:p>
    <w:p w:rsidR="00214B5E" w:rsidRDefault="00214B5E" w:rsidP="004F0EC5">
      <w:pPr>
        <w:rPr>
          <w:rFonts w:asciiTheme="majorHAnsi" w:hAnsiTheme="majorHAnsi"/>
        </w:rPr>
      </w:pPr>
      <w:r>
        <w:rPr>
          <w:noProof/>
        </w:rPr>
        <w:drawing>
          <wp:inline distT="0" distB="0" distL="0" distR="0" wp14:anchorId="7BFBCBF8" wp14:editId="05CCD72B">
            <wp:extent cx="5943600" cy="3734435"/>
            <wp:effectExtent l="0" t="0" r="19050" b="18415"/>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214B5E" w:rsidRDefault="00865E84" w:rsidP="004F0EC5">
      <w:pPr>
        <w:rPr>
          <w:rFonts w:asciiTheme="majorHAnsi" w:hAnsiTheme="majorHAnsi"/>
        </w:rPr>
      </w:pPr>
      <w:r>
        <w:rPr>
          <w:rFonts w:asciiTheme="majorHAnsi" w:hAnsiTheme="majorHAnsi"/>
        </w:rPr>
        <w:t xml:space="preserve">Because the water chemistry </w:t>
      </w:r>
      <w:r w:rsidR="00FE54C1">
        <w:rPr>
          <w:rFonts w:asciiTheme="majorHAnsi" w:hAnsiTheme="majorHAnsi"/>
        </w:rPr>
        <w:t>and hydraulic loading a</w:t>
      </w:r>
      <w:r w:rsidR="0053539D">
        <w:rPr>
          <w:rFonts w:asciiTheme="majorHAnsi" w:hAnsiTheme="majorHAnsi"/>
        </w:rPr>
        <w:t>nd retention time were so</w:t>
      </w:r>
      <w:r w:rsidR="00FE54C1">
        <w:rPr>
          <w:rFonts w:asciiTheme="majorHAnsi" w:hAnsiTheme="majorHAnsi"/>
        </w:rPr>
        <w:t xml:space="preserve"> different from 2013-2015</w:t>
      </w:r>
      <w:r w:rsidR="0022280F">
        <w:rPr>
          <w:rFonts w:asciiTheme="majorHAnsi" w:hAnsiTheme="majorHAnsi"/>
        </w:rPr>
        <w:t xml:space="preserve"> combined models were put together and run for both the direct drainage scenario and the L-THIA scenario.  It was determined that the combined L-THIA model would be used to address nutrient reductions and management scenarios as the hydraulic loading was normalized.</w:t>
      </w:r>
    </w:p>
    <w:p w:rsidR="00872D1B" w:rsidRDefault="0022280F" w:rsidP="004F0EC5">
      <w:pPr>
        <w:rPr>
          <w:rFonts w:asciiTheme="majorHAnsi" w:hAnsiTheme="majorHAnsi" w:cs="Arial"/>
          <w:color w:val="222222"/>
          <w:shd w:val="clear" w:color="auto" w:fill="FFFFFF"/>
        </w:rPr>
      </w:pPr>
      <w:r>
        <w:rPr>
          <w:rFonts w:asciiTheme="majorHAnsi" w:hAnsiTheme="majorHAnsi"/>
        </w:rPr>
        <w:t xml:space="preserve">In the combined L-THIA scenario the 1979 </w:t>
      </w:r>
      <w:proofErr w:type="spellStart"/>
      <w:r>
        <w:rPr>
          <w:rFonts w:asciiTheme="majorHAnsi" w:hAnsiTheme="majorHAnsi"/>
        </w:rPr>
        <w:t>Reckhow</w:t>
      </w:r>
      <w:proofErr w:type="spellEnd"/>
      <w:r>
        <w:rPr>
          <w:rFonts w:asciiTheme="majorHAnsi" w:hAnsiTheme="majorHAnsi"/>
        </w:rPr>
        <w:t xml:space="preserve"> general lake model fit best.  The general lake model is </w:t>
      </w:r>
      <m:oMath>
        <m:r>
          <w:rPr>
            <w:rFonts w:ascii="Cambria Math" w:hAnsi="Cambria Math"/>
          </w:rPr>
          <m:t>P=</m:t>
        </m:r>
        <m:f>
          <m:fPr>
            <m:ctrlPr>
              <w:rPr>
                <w:rFonts w:ascii="Cambria Math" w:hAnsi="Cambria Math"/>
                <w:i/>
              </w:rPr>
            </m:ctrlPr>
          </m:fPr>
          <m:num>
            <m:r>
              <w:rPr>
                <w:rFonts w:ascii="Cambria Math" w:hAnsi="Cambria Math"/>
              </w:rPr>
              <m:t>1000L</m:t>
            </m:r>
          </m:num>
          <m:den>
            <m:r>
              <w:rPr>
                <w:rFonts w:ascii="Cambria Math" w:hAnsi="Cambria Math"/>
              </w:rPr>
              <m:t>11.6+1.2</m:t>
            </m:r>
            <m:sSub>
              <m:sSubPr>
                <m:ctrlPr>
                  <w:rPr>
                    <w:rFonts w:ascii="Cambria Math" w:hAnsi="Cambria Math"/>
                    <w:i/>
                  </w:rPr>
                </m:ctrlPr>
              </m:sSubPr>
              <m:e>
                <m:r>
                  <w:rPr>
                    <w:rFonts w:ascii="Cambria Math" w:hAnsi="Cambria Math"/>
                  </w:rPr>
                  <m:t>q</m:t>
                </m:r>
              </m:e>
              <m:sub>
                <m:r>
                  <w:rPr>
                    <w:rFonts w:ascii="Cambria Math" w:hAnsi="Cambria Math"/>
                  </w:rPr>
                  <m:t>s</m:t>
                </m:r>
              </m:sub>
            </m:sSub>
          </m:den>
        </m:f>
      </m:oMath>
      <w:r>
        <w:rPr>
          <w:rFonts w:asciiTheme="majorHAnsi" w:hAnsiTheme="majorHAnsi"/>
        </w:rPr>
        <w:t xml:space="preserve"> where L is the areal loading in </w:t>
      </w:r>
      <w:r w:rsidRPr="002D3543">
        <w:rPr>
          <w:rFonts w:asciiTheme="majorHAnsi" w:hAnsiTheme="majorHAnsi" w:cs="Arial"/>
          <w:color w:val="222222"/>
          <w:shd w:val="clear" w:color="auto" w:fill="FFFFFF"/>
        </w:rPr>
        <w:t>mg/m</w:t>
      </w:r>
      <w:r w:rsidRPr="002D3543">
        <w:rPr>
          <w:rFonts w:asciiTheme="majorHAnsi" w:hAnsiTheme="majorHAnsi" w:cs="Arial"/>
          <w:color w:val="222222"/>
          <w:shd w:val="clear" w:color="auto" w:fill="FFFFFF"/>
          <w:vertAlign w:val="superscript"/>
        </w:rPr>
        <w:t>2</w:t>
      </w:r>
      <w:r w:rsidRPr="002D3543">
        <w:rPr>
          <w:rFonts w:asciiTheme="majorHAnsi" w:hAnsiTheme="majorHAnsi" w:cs="Arial"/>
          <w:color w:val="222222"/>
          <w:shd w:val="clear" w:color="auto" w:fill="FFFFFF"/>
        </w:rPr>
        <w:t>-yr.</w:t>
      </w:r>
      <w:r>
        <w:rPr>
          <w:rFonts w:asciiTheme="majorHAnsi" w:hAnsiTheme="majorHAnsi" w:cs="Arial"/>
          <w:color w:val="222222"/>
          <w:shd w:val="clear" w:color="auto" w:fill="FFFFFF"/>
        </w:rPr>
        <w:t xml:space="preserve"> and </w:t>
      </w:r>
      <w:proofErr w:type="spellStart"/>
      <w:r>
        <w:rPr>
          <w:rFonts w:asciiTheme="majorHAnsi" w:hAnsiTheme="majorHAnsi" w:cs="Arial"/>
          <w:color w:val="222222"/>
          <w:shd w:val="clear" w:color="auto" w:fill="FFFFFF"/>
        </w:rPr>
        <w:t>q</w:t>
      </w:r>
      <w:r w:rsidRPr="0022280F">
        <w:rPr>
          <w:rFonts w:asciiTheme="majorHAnsi" w:hAnsiTheme="majorHAnsi" w:cs="Arial"/>
          <w:color w:val="222222"/>
          <w:shd w:val="clear" w:color="auto" w:fill="FFFFFF"/>
          <w:vertAlign w:val="subscript"/>
        </w:rPr>
        <w:t>s</w:t>
      </w:r>
      <w:proofErr w:type="spellEnd"/>
      <w:r>
        <w:rPr>
          <w:rFonts w:asciiTheme="majorHAnsi" w:hAnsiTheme="majorHAnsi" w:cs="Arial"/>
          <w:color w:val="222222"/>
          <w:shd w:val="clear" w:color="auto" w:fill="FFFFFF"/>
        </w:rPr>
        <w:t xml:space="preserve"> is the annual areal water loading or surface overflow rate. </w:t>
      </w:r>
      <w:r w:rsidR="00872D1B">
        <w:rPr>
          <w:rFonts w:asciiTheme="majorHAnsi" w:hAnsiTheme="majorHAnsi" w:cs="Arial"/>
          <w:color w:val="222222"/>
          <w:shd w:val="clear" w:color="auto" w:fill="FFFFFF"/>
        </w:rPr>
        <w:t xml:space="preserve">  </w:t>
      </w:r>
    </w:p>
    <w:p w:rsidR="0022280F" w:rsidRDefault="00872D1B" w:rsidP="004F0EC5">
      <w:pPr>
        <w:rPr>
          <w:rFonts w:asciiTheme="majorHAnsi" w:hAnsiTheme="majorHAnsi"/>
        </w:rPr>
      </w:pPr>
      <w:r>
        <w:rPr>
          <w:rFonts w:asciiTheme="majorHAnsi" w:hAnsiTheme="majorHAnsi" w:cs="Arial"/>
          <w:color w:val="222222"/>
          <w:shd w:val="clear" w:color="auto" w:fill="FFFFFF"/>
        </w:rPr>
        <w:lastRenderedPageBreak/>
        <w:t xml:space="preserve">The internal load using this scenario was determined to be 68.9 kg (151.8 </w:t>
      </w:r>
      <w:proofErr w:type="spellStart"/>
      <w:r>
        <w:rPr>
          <w:rFonts w:asciiTheme="majorHAnsi" w:hAnsiTheme="majorHAnsi" w:cs="Arial"/>
          <w:color w:val="222222"/>
          <w:shd w:val="clear" w:color="auto" w:fill="FFFFFF"/>
        </w:rPr>
        <w:t>lbs</w:t>
      </w:r>
      <w:proofErr w:type="spellEnd"/>
      <w:r>
        <w:rPr>
          <w:rFonts w:asciiTheme="majorHAnsi" w:hAnsiTheme="majorHAnsi" w:cs="Arial"/>
          <w:color w:val="222222"/>
          <w:shd w:val="clear" w:color="auto" w:fill="FFFFFF"/>
        </w:rPr>
        <w:t xml:space="preserve">).  When this value was input into the model and phosphorus values were back calculated </w:t>
      </w:r>
      <w:r>
        <w:rPr>
          <w:rFonts w:asciiTheme="majorHAnsi" w:hAnsiTheme="majorHAnsi"/>
        </w:rPr>
        <w:t>there was a 2% difference between the predicted versus the observe</w:t>
      </w:r>
      <w:r w:rsidR="00AF6109">
        <w:rPr>
          <w:rFonts w:asciiTheme="majorHAnsi" w:hAnsiTheme="majorHAnsi"/>
        </w:rPr>
        <w:t>d</w:t>
      </w:r>
      <w:r>
        <w:rPr>
          <w:rFonts w:asciiTheme="majorHAnsi" w:hAnsiTheme="majorHAnsi"/>
        </w:rPr>
        <w:t xml:space="preserve"> phosphorus values (57 µg/l </w:t>
      </w:r>
      <w:proofErr w:type="gramStart"/>
      <w:r>
        <w:rPr>
          <w:rFonts w:asciiTheme="majorHAnsi" w:hAnsiTheme="majorHAnsi"/>
        </w:rPr>
        <w:t>vs. 56 µg/l</w:t>
      </w:r>
      <w:proofErr w:type="gramEnd"/>
      <w:r>
        <w:rPr>
          <w:rFonts w:asciiTheme="majorHAnsi" w:hAnsiTheme="majorHAnsi"/>
        </w:rPr>
        <w:t>).  This can be used to determine appropriate nutrient reduction scenarios.</w:t>
      </w:r>
    </w:p>
    <w:p w:rsidR="00872D1B" w:rsidRPr="005A1F05" w:rsidRDefault="00872D1B" w:rsidP="004F0EC5">
      <w:pPr>
        <w:rPr>
          <w:rFonts w:asciiTheme="majorHAnsi" w:hAnsiTheme="majorHAnsi"/>
        </w:rPr>
      </w:pPr>
      <w:r>
        <w:rPr>
          <w:rFonts w:asciiTheme="majorHAnsi" w:hAnsiTheme="majorHAnsi"/>
        </w:rPr>
        <w:t xml:space="preserve">When there is a </w:t>
      </w:r>
      <w:r w:rsidRPr="00AF6109">
        <w:rPr>
          <w:rFonts w:asciiTheme="majorHAnsi" w:hAnsiTheme="majorHAnsi"/>
          <w:highlight w:val="lightGray"/>
        </w:rPr>
        <w:t>15%</w:t>
      </w:r>
      <w:r>
        <w:rPr>
          <w:rFonts w:asciiTheme="majorHAnsi" w:hAnsiTheme="majorHAnsi"/>
        </w:rPr>
        <w:t xml:space="preserve"> nonpoint source phosphorus reduction the water column total phosphorus is predicted to be reduced </w:t>
      </w:r>
      <w:proofErr w:type="gramStart"/>
      <w:r>
        <w:rPr>
          <w:rFonts w:asciiTheme="majorHAnsi" w:hAnsiTheme="majorHAnsi"/>
        </w:rPr>
        <w:t>to 48</w:t>
      </w:r>
      <w:r w:rsidR="00AF6109">
        <w:rPr>
          <w:rFonts w:asciiTheme="majorHAnsi" w:hAnsiTheme="majorHAnsi"/>
        </w:rPr>
        <w:t xml:space="preserve"> </w:t>
      </w:r>
      <w:r>
        <w:rPr>
          <w:rFonts w:asciiTheme="majorHAnsi" w:hAnsiTheme="majorHAnsi"/>
        </w:rPr>
        <w:t>µg/l</w:t>
      </w:r>
      <w:proofErr w:type="gramEnd"/>
      <w:r>
        <w:rPr>
          <w:rFonts w:asciiTheme="majorHAnsi" w:hAnsiTheme="majorHAnsi"/>
        </w:rPr>
        <w:t>.  When a 20% nonpoint source reduction is achieved</w:t>
      </w:r>
      <w:r w:rsidR="00AF6109">
        <w:rPr>
          <w:rFonts w:asciiTheme="majorHAnsi" w:hAnsiTheme="majorHAnsi"/>
        </w:rPr>
        <w:t>,</w:t>
      </w:r>
      <w:r>
        <w:rPr>
          <w:rFonts w:asciiTheme="majorHAnsi" w:hAnsiTheme="majorHAnsi"/>
        </w:rPr>
        <w:t xml:space="preserve"> the model predicts the water column total phosphorus concentration to be </w:t>
      </w:r>
      <w:proofErr w:type="gramStart"/>
      <w:r>
        <w:rPr>
          <w:rFonts w:asciiTheme="majorHAnsi" w:hAnsiTheme="majorHAnsi"/>
        </w:rPr>
        <w:t>45</w:t>
      </w:r>
      <w:r w:rsidR="00AF6109">
        <w:rPr>
          <w:rFonts w:asciiTheme="majorHAnsi" w:hAnsiTheme="majorHAnsi"/>
        </w:rPr>
        <w:t xml:space="preserve"> </w:t>
      </w:r>
      <w:r>
        <w:rPr>
          <w:rFonts w:asciiTheme="majorHAnsi" w:hAnsiTheme="majorHAnsi"/>
        </w:rPr>
        <w:t>µg/l</w:t>
      </w:r>
      <w:proofErr w:type="gramEnd"/>
      <w:r>
        <w:rPr>
          <w:rFonts w:asciiTheme="majorHAnsi" w:hAnsiTheme="majorHAnsi"/>
        </w:rPr>
        <w:t>.  Finally with a 30% reduction the predicted w</w:t>
      </w:r>
      <w:r w:rsidR="005A1F05">
        <w:rPr>
          <w:rFonts w:asciiTheme="majorHAnsi" w:hAnsiTheme="majorHAnsi"/>
        </w:rPr>
        <w:t xml:space="preserve">ater column concentration is </w:t>
      </w:r>
      <w:proofErr w:type="gramStart"/>
      <w:r w:rsidR="005A1F05">
        <w:rPr>
          <w:rFonts w:asciiTheme="majorHAnsi" w:hAnsiTheme="majorHAnsi"/>
        </w:rPr>
        <w:t>40</w:t>
      </w:r>
      <w:r w:rsidR="00AF6109">
        <w:rPr>
          <w:rFonts w:asciiTheme="majorHAnsi" w:hAnsiTheme="majorHAnsi"/>
        </w:rPr>
        <w:t xml:space="preserve"> </w:t>
      </w:r>
      <w:r w:rsidR="005A1F05">
        <w:rPr>
          <w:rFonts w:asciiTheme="majorHAnsi" w:hAnsiTheme="majorHAnsi"/>
        </w:rPr>
        <w:t>µg/l</w:t>
      </w:r>
      <w:proofErr w:type="gramEnd"/>
      <w:r w:rsidR="005A1F05">
        <w:rPr>
          <w:rFonts w:asciiTheme="majorHAnsi" w:hAnsiTheme="majorHAnsi"/>
        </w:rPr>
        <w:t xml:space="preserve">.  Phosphorus values under 45 would reduce both chlorophyll </w:t>
      </w:r>
      <w:r w:rsidR="005A1F05" w:rsidRPr="005A1F05">
        <w:rPr>
          <w:rFonts w:asciiTheme="majorHAnsi" w:hAnsiTheme="majorHAnsi"/>
          <w:i/>
        </w:rPr>
        <w:t>a</w:t>
      </w:r>
      <w:r w:rsidR="005A1F05">
        <w:rPr>
          <w:rFonts w:asciiTheme="majorHAnsi" w:hAnsiTheme="majorHAnsi"/>
        </w:rPr>
        <w:t xml:space="preserve"> and the presence of cyanobacteria blooms based on</w:t>
      </w:r>
      <w:r w:rsidR="00AF6109">
        <w:rPr>
          <w:rFonts w:asciiTheme="majorHAnsi" w:hAnsiTheme="majorHAnsi"/>
        </w:rPr>
        <w:t xml:space="preserve"> </w:t>
      </w:r>
      <w:bookmarkStart w:id="1" w:name="_GoBack"/>
      <w:bookmarkEnd w:id="1"/>
      <w:r w:rsidR="005A1F05">
        <w:rPr>
          <w:rFonts w:asciiTheme="majorHAnsi" w:hAnsiTheme="majorHAnsi"/>
        </w:rPr>
        <w:t xml:space="preserve">in-situ data collected and </w:t>
      </w:r>
      <w:proofErr w:type="spellStart"/>
      <w:r w:rsidR="005A1F05">
        <w:rPr>
          <w:rFonts w:asciiTheme="majorHAnsi" w:hAnsiTheme="majorHAnsi"/>
        </w:rPr>
        <w:t>paleolimnological</w:t>
      </w:r>
      <w:proofErr w:type="spellEnd"/>
      <w:r w:rsidR="005A1F05">
        <w:rPr>
          <w:rFonts w:asciiTheme="majorHAnsi" w:hAnsiTheme="majorHAnsi"/>
        </w:rPr>
        <w:t xml:space="preserve"> analysis.</w:t>
      </w:r>
    </w:p>
    <w:sectPr w:rsidR="00872D1B" w:rsidRPr="005A1F0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1880"/>
    <w:rsid w:val="00045D2D"/>
    <w:rsid w:val="000E0DB3"/>
    <w:rsid w:val="001552A1"/>
    <w:rsid w:val="00167B01"/>
    <w:rsid w:val="001B7CA7"/>
    <w:rsid w:val="001C63CA"/>
    <w:rsid w:val="00200944"/>
    <w:rsid w:val="00202BFC"/>
    <w:rsid w:val="00203EAE"/>
    <w:rsid w:val="00214B5E"/>
    <w:rsid w:val="0022280F"/>
    <w:rsid w:val="002249A1"/>
    <w:rsid w:val="002A146C"/>
    <w:rsid w:val="00315B01"/>
    <w:rsid w:val="00322ED2"/>
    <w:rsid w:val="003309B9"/>
    <w:rsid w:val="00370254"/>
    <w:rsid w:val="003B0E88"/>
    <w:rsid w:val="004351CD"/>
    <w:rsid w:val="004F0EC5"/>
    <w:rsid w:val="0053539D"/>
    <w:rsid w:val="005A1F05"/>
    <w:rsid w:val="005C1E72"/>
    <w:rsid w:val="005C6A8B"/>
    <w:rsid w:val="00671A60"/>
    <w:rsid w:val="006C22C2"/>
    <w:rsid w:val="00810F10"/>
    <w:rsid w:val="008262F5"/>
    <w:rsid w:val="00865E84"/>
    <w:rsid w:val="00872D1B"/>
    <w:rsid w:val="008B676A"/>
    <w:rsid w:val="008C6100"/>
    <w:rsid w:val="00912184"/>
    <w:rsid w:val="0099795A"/>
    <w:rsid w:val="009C1297"/>
    <w:rsid w:val="00AF6109"/>
    <w:rsid w:val="00C029D9"/>
    <w:rsid w:val="00C10658"/>
    <w:rsid w:val="00C7705C"/>
    <w:rsid w:val="00D94B97"/>
    <w:rsid w:val="00E72C08"/>
    <w:rsid w:val="00EB6A47"/>
    <w:rsid w:val="00EF1880"/>
    <w:rsid w:val="00FC26D5"/>
    <w:rsid w:val="00FE54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1880"/>
    <w:rPr>
      <w:rFonts w:eastAsiaTheme="minorEastAsia"/>
    </w:rPr>
  </w:style>
  <w:style w:type="paragraph" w:styleId="Heading1">
    <w:name w:val="heading 1"/>
    <w:basedOn w:val="Normal"/>
    <w:next w:val="Normal"/>
    <w:link w:val="Heading1Char"/>
    <w:uiPriority w:val="9"/>
    <w:qFormat/>
    <w:rsid w:val="00EF1880"/>
    <w:pPr>
      <w:keepNext/>
      <w:keepLines/>
      <w:spacing w:before="480" w:after="0"/>
      <w:outlineLvl w:val="0"/>
    </w:pPr>
    <w:rPr>
      <w:rFonts w:ascii="Calibri" w:eastAsiaTheme="majorEastAsia" w:hAnsi="Calibri" w:cstheme="majorBidi"/>
      <w:b/>
      <w:bCs/>
      <w:smallCaps/>
      <w:sz w:val="28"/>
      <w:szCs w:val="28"/>
    </w:rPr>
  </w:style>
  <w:style w:type="paragraph" w:styleId="Heading2">
    <w:name w:val="heading 2"/>
    <w:basedOn w:val="Normal"/>
    <w:next w:val="Normal"/>
    <w:link w:val="Heading2Char"/>
    <w:uiPriority w:val="9"/>
    <w:unhideWhenUsed/>
    <w:qFormat/>
    <w:rsid w:val="006C22C2"/>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F1880"/>
    <w:rPr>
      <w:rFonts w:ascii="Calibri" w:eastAsiaTheme="majorEastAsia" w:hAnsi="Calibri" w:cstheme="majorBidi"/>
      <w:b/>
      <w:bCs/>
      <w:smallCaps/>
      <w:sz w:val="28"/>
      <w:szCs w:val="28"/>
    </w:rPr>
  </w:style>
  <w:style w:type="table" w:styleId="LightShading">
    <w:name w:val="Light Shading"/>
    <w:basedOn w:val="TableNormal"/>
    <w:uiPriority w:val="60"/>
    <w:rsid w:val="00EF1880"/>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BalloonText">
    <w:name w:val="Balloon Text"/>
    <w:basedOn w:val="Normal"/>
    <w:link w:val="BalloonTextChar"/>
    <w:uiPriority w:val="99"/>
    <w:semiHidden/>
    <w:unhideWhenUsed/>
    <w:rsid w:val="00EF18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F1880"/>
    <w:rPr>
      <w:rFonts w:ascii="Tahoma" w:eastAsiaTheme="minorEastAsia" w:hAnsi="Tahoma" w:cs="Tahoma"/>
      <w:sz w:val="16"/>
      <w:szCs w:val="16"/>
    </w:rPr>
  </w:style>
  <w:style w:type="paragraph" w:styleId="Subtitle">
    <w:name w:val="Subtitle"/>
    <w:basedOn w:val="Normal"/>
    <w:next w:val="Normal"/>
    <w:link w:val="SubtitleChar"/>
    <w:uiPriority w:val="11"/>
    <w:qFormat/>
    <w:rsid w:val="006C22C2"/>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6C22C2"/>
    <w:rPr>
      <w:rFonts w:asciiTheme="majorHAnsi" w:eastAsiaTheme="majorEastAsia" w:hAnsiTheme="majorHAnsi" w:cstheme="majorBidi"/>
      <w:i/>
      <w:iCs/>
      <w:color w:val="4F81BD" w:themeColor="accent1"/>
      <w:spacing w:val="15"/>
      <w:sz w:val="24"/>
      <w:szCs w:val="24"/>
    </w:rPr>
  </w:style>
  <w:style w:type="character" w:customStyle="1" w:styleId="Heading2Char">
    <w:name w:val="Heading 2 Char"/>
    <w:basedOn w:val="DefaultParagraphFont"/>
    <w:link w:val="Heading2"/>
    <w:uiPriority w:val="9"/>
    <w:rsid w:val="006C22C2"/>
    <w:rPr>
      <w:rFonts w:asciiTheme="majorHAnsi" w:eastAsiaTheme="majorEastAsia" w:hAnsiTheme="majorHAnsi" w:cstheme="majorBidi"/>
      <w:b/>
      <w:bCs/>
      <w:color w:val="4F81BD" w:themeColor="accent1"/>
      <w:sz w:val="26"/>
      <w:szCs w:val="26"/>
    </w:rPr>
  </w:style>
  <w:style w:type="paragraph" w:styleId="NoSpacing">
    <w:name w:val="No Spacing"/>
    <w:uiPriority w:val="1"/>
    <w:qFormat/>
    <w:rsid w:val="006C22C2"/>
    <w:pPr>
      <w:spacing w:after="0" w:line="240" w:lineRule="auto"/>
    </w:pPr>
    <w:rPr>
      <w:rFonts w:eastAsiaTheme="minorEastAsia"/>
    </w:rPr>
  </w:style>
  <w:style w:type="character" w:styleId="PlaceholderText">
    <w:name w:val="Placeholder Text"/>
    <w:basedOn w:val="DefaultParagraphFont"/>
    <w:uiPriority w:val="99"/>
    <w:semiHidden/>
    <w:rsid w:val="00214B5E"/>
    <w:rPr>
      <w:color w:val="808080"/>
    </w:rPr>
  </w:style>
  <w:style w:type="table" w:styleId="LightShading-Accent1">
    <w:name w:val="Light Shading Accent 1"/>
    <w:basedOn w:val="TableNormal"/>
    <w:uiPriority w:val="60"/>
    <w:rsid w:val="00315B01"/>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5">
    <w:name w:val="Light Shading Accent 5"/>
    <w:basedOn w:val="TableNormal"/>
    <w:uiPriority w:val="60"/>
    <w:rsid w:val="00315B01"/>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List-Accent1">
    <w:name w:val="Light List Accent 1"/>
    <w:basedOn w:val="TableNormal"/>
    <w:uiPriority w:val="61"/>
    <w:rsid w:val="00315B01"/>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1880"/>
    <w:rPr>
      <w:rFonts w:eastAsiaTheme="minorEastAsia"/>
    </w:rPr>
  </w:style>
  <w:style w:type="paragraph" w:styleId="Heading1">
    <w:name w:val="heading 1"/>
    <w:basedOn w:val="Normal"/>
    <w:next w:val="Normal"/>
    <w:link w:val="Heading1Char"/>
    <w:uiPriority w:val="9"/>
    <w:qFormat/>
    <w:rsid w:val="00EF1880"/>
    <w:pPr>
      <w:keepNext/>
      <w:keepLines/>
      <w:spacing w:before="480" w:after="0"/>
      <w:outlineLvl w:val="0"/>
    </w:pPr>
    <w:rPr>
      <w:rFonts w:ascii="Calibri" w:eastAsiaTheme="majorEastAsia" w:hAnsi="Calibri" w:cstheme="majorBidi"/>
      <w:b/>
      <w:bCs/>
      <w:smallCaps/>
      <w:sz w:val="28"/>
      <w:szCs w:val="28"/>
    </w:rPr>
  </w:style>
  <w:style w:type="paragraph" w:styleId="Heading2">
    <w:name w:val="heading 2"/>
    <w:basedOn w:val="Normal"/>
    <w:next w:val="Normal"/>
    <w:link w:val="Heading2Char"/>
    <w:uiPriority w:val="9"/>
    <w:unhideWhenUsed/>
    <w:qFormat/>
    <w:rsid w:val="006C22C2"/>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F1880"/>
    <w:rPr>
      <w:rFonts w:ascii="Calibri" w:eastAsiaTheme="majorEastAsia" w:hAnsi="Calibri" w:cstheme="majorBidi"/>
      <w:b/>
      <w:bCs/>
      <w:smallCaps/>
      <w:sz w:val="28"/>
      <w:szCs w:val="28"/>
    </w:rPr>
  </w:style>
  <w:style w:type="table" w:styleId="LightShading">
    <w:name w:val="Light Shading"/>
    <w:basedOn w:val="TableNormal"/>
    <w:uiPriority w:val="60"/>
    <w:rsid w:val="00EF1880"/>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BalloonText">
    <w:name w:val="Balloon Text"/>
    <w:basedOn w:val="Normal"/>
    <w:link w:val="BalloonTextChar"/>
    <w:uiPriority w:val="99"/>
    <w:semiHidden/>
    <w:unhideWhenUsed/>
    <w:rsid w:val="00EF18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F1880"/>
    <w:rPr>
      <w:rFonts w:ascii="Tahoma" w:eastAsiaTheme="minorEastAsia" w:hAnsi="Tahoma" w:cs="Tahoma"/>
      <w:sz w:val="16"/>
      <w:szCs w:val="16"/>
    </w:rPr>
  </w:style>
  <w:style w:type="paragraph" w:styleId="Subtitle">
    <w:name w:val="Subtitle"/>
    <w:basedOn w:val="Normal"/>
    <w:next w:val="Normal"/>
    <w:link w:val="SubtitleChar"/>
    <w:uiPriority w:val="11"/>
    <w:qFormat/>
    <w:rsid w:val="006C22C2"/>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6C22C2"/>
    <w:rPr>
      <w:rFonts w:asciiTheme="majorHAnsi" w:eastAsiaTheme="majorEastAsia" w:hAnsiTheme="majorHAnsi" w:cstheme="majorBidi"/>
      <w:i/>
      <w:iCs/>
      <w:color w:val="4F81BD" w:themeColor="accent1"/>
      <w:spacing w:val="15"/>
      <w:sz w:val="24"/>
      <w:szCs w:val="24"/>
    </w:rPr>
  </w:style>
  <w:style w:type="character" w:customStyle="1" w:styleId="Heading2Char">
    <w:name w:val="Heading 2 Char"/>
    <w:basedOn w:val="DefaultParagraphFont"/>
    <w:link w:val="Heading2"/>
    <w:uiPriority w:val="9"/>
    <w:rsid w:val="006C22C2"/>
    <w:rPr>
      <w:rFonts w:asciiTheme="majorHAnsi" w:eastAsiaTheme="majorEastAsia" w:hAnsiTheme="majorHAnsi" w:cstheme="majorBidi"/>
      <w:b/>
      <w:bCs/>
      <w:color w:val="4F81BD" w:themeColor="accent1"/>
      <w:sz w:val="26"/>
      <w:szCs w:val="26"/>
    </w:rPr>
  </w:style>
  <w:style w:type="paragraph" w:styleId="NoSpacing">
    <w:name w:val="No Spacing"/>
    <w:uiPriority w:val="1"/>
    <w:qFormat/>
    <w:rsid w:val="006C22C2"/>
    <w:pPr>
      <w:spacing w:after="0" w:line="240" w:lineRule="auto"/>
    </w:pPr>
    <w:rPr>
      <w:rFonts w:eastAsiaTheme="minorEastAsia"/>
    </w:rPr>
  </w:style>
  <w:style w:type="character" w:styleId="PlaceholderText">
    <w:name w:val="Placeholder Text"/>
    <w:basedOn w:val="DefaultParagraphFont"/>
    <w:uiPriority w:val="99"/>
    <w:semiHidden/>
    <w:rsid w:val="00214B5E"/>
    <w:rPr>
      <w:color w:val="808080"/>
    </w:rPr>
  </w:style>
  <w:style w:type="table" w:styleId="LightShading-Accent1">
    <w:name w:val="Light Shading Accent 1"/>
    <w:basedOn w:val="TableNormal"/>
    <w:uiPriority w:val="60"/>
    <w:rsid w:val="00315B01"/>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5">
    <w:name w:val="Light Shading Accent 5"/>
    <w:basedOn w:val="TableNormal"/>
    <w:uiPriority w:val="60"/>
    <w:rsid w:val="00315B01"/>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List-Accent1">
    <w:name w:val="Light List Accent 1"/>
    <w:basedOn w:val="TableNormal"/>
    <w:uiPriority w:val="61"/>
    <w:rsid w:val="00315B01"/>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60321466">
      <w:bodyDiv w:val="1"/>
      <w:marLeft w:val="0"/>
      <w:marRight w:val="0"/>
      <w:marTop w:val="0"/>
      <w:marBottom w:val="0"/>
      <w:divBdr>
        <w:top w:val="none" w:sz="0" w:space="0" w:color="auto"/>
        <w:left w:val="none" w:sz="0" w:space="0" w:color="auto"/>
        <w:bottom w:val="none" w:sz="0" w:space="0" w:color="auto"/>
        <w:right w:val="none" w:sz="0" w:space="0" w:color="auto"/>
      </w:divBdr>
    </w:div>
    <w:div w:id="16687504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3" Type="http://schemas.openxmlformats.org/officeDocument/2006/relationships/settings" Target="settings.xml"/><Relationship Id="rId7" Type="http://schemas.openxmlformats.org/officeDocument/2006/relationships/image" Target="media/image2.JPG"/><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chart" Target="charts/chart1.xml"/><Relationship Id="rId10" Type="http://schemas.openxmlformats.org/officeDocument/2006/relationships/chart" Target="charts/chart4.xml"/><Relationship Id="rId4" Type="http://schemas.openxmlformats.org/officeDocument/2006/relationships/webSettings" Target="webSettings.xml"/><Relationship Id="rId9" Type="http://schemas.openxmlformats.org/officeDocument/2006/relationships/chart" Target="charts/chart3.xml"/></Relationships>
</file>

<file path=word/charts/_rels/chart1.xml.rels><?xml version="1.0" encoding="UTF-8" standalone="yes"?>
<Relationships xmlns="http://schemas.openxmlformats.org/package/2006/relationships"><Relationship Id="rId1" Type="http://schemas.openxmlformats.org/officeDocument/2006/relationships/oleObject" Target="file:///\\PCgov\LandWater\DATA\SHARE\Lakes%20Database\BigBlake\AIS%20grant%202012\WiLMS\Nutrient%20Budget.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PCgov\LandWater\DATA\SHARE\Lakes%20Database\BigBlake\AIS%20grant%202012\WiLMS\Loading.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PCgov\LandWater\DATA\SHARE\Lakes%20Database\BigBlake\AIS%20grant%202012\WiLMS\Loading.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PCgov\LandWater\DATA\SHARE\Lakes%20Database\BigBlake\AIS%20grant%202012\WiLMS\Loading.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0"/>
    </mc:Choice>
    <mc:Fallback>
      <c:style val="10"/>
    </mc:Fallback>
  </mc:AlternateContent>
  <c:chart>
    <c:title>
      <c:tx>
        <c:rich>
          <a:bodyPr/>
          <a:lstStyle/>
          <a:p>
            <a:pPr>
              <a:defRPr/>
            </a:pPr>
            <a:r>
              <a:rPr lang="en-US"/>
              <a:t>Big Blake Lake P Load kg/yr</a:t>
            </a:r>
          </a:p>
        </c:rich>
      </c:tx>
      <c:layout/>
      <c:overlay val="0"/>
    </c:title>
    <c:autoTitleDeleted val="0"/>
    <c:plotArea>
      <c:layout/>
      <c:pieChart>
        <c:varyColors val="1"/>
        <c:ser>
          <c:idx val="0"/>
          <c:order val="0"/>
          <c:tx>
            <c:strRef>
              <c:f>Sheet1!$C$2:$C$3</c:f>
              <c:strCache>
                <c:ptCount val="1"/>
                <c:pt idx="0">
                  <c:v>Big Blake Lake Nutrient Budget P Load kg/yr</c:v>
                </c:pt>
              </c:strCache>
            </c:strRef>
          </c:tx>
          <c:dLbls>
            <c:showLegendKey val="0"/>
            <c:showVal val="0"/>
            <c:showCatName val="1"/>
            <c:showSerName val="0"/>
            <c:showPercent val="1"/>
            <c:showBubbleSize val="0"/>
            <c:showLeaderLines val="1"/>
          </c:dLbls>
          <c:cat>
            <c:strRef>
              <c:f>Sheet1!$B$4:$B$12</c:f>
              <c:strCache>
                <c:ptCount val="9"/>
                <c:pt idx="0">
                  <c:v>Row Crop</c:v>
                </c:pt>
                <c:pt idx="1">
                  <c:v>Pasture/Grass</c:v>
                </c:pt>
                <c:pt idx="2">
                  <c:v>Residential</c:v>
                </c:pt>
                <c:pt idx="3">
                  <c:v>Rural Residential</c:v>
                </c:pt>
                <c:pt idx="4">
                  <c:v>Roads</c:v>
                </c:pt>
                <c:pt idx="5">
                  <c:v>Wetland</c:v>
                </c:pt>
                <c:pt idx="6">
                  <c:v>Forest</c:v>
                </c:pt>
                <c:pt idx="7">
                  <c:v>Septic</c:v>
                </c:pt>
                <c:pt idx="8">
                  <c:v>Atmospheric Deposition</c:v>
                </c:pt>
              </c:strCache>
            </c:strRef>
          </c:cat>
          <c:val>
            <c:numRef>
              <c:f>Sheet1!$C$4:$C$12</c:f>
              <c:numCache>
                <c:formatCode>General</c:formatCode>
                <c:ptCount val="9"/>
                <c:pt idx="0">
                  <c:v>50</c:v>
                </c:pt>
                <c:pt idx="1">
                  <c:v>5</c:v>
                </c:pt>
                <c:pt idx="2">
                  <c:v>23</c:v>
                </c:pt>
                <c:pt idx="3">
                  <c:v>2</c:v>
                </c:pt>
                <c:pt idx="4">
                  <c:v>12</c:v>
                </c:pt>
                <c:pt idx="5">
                  <c:v>1</c:v>
                </c:pt>
                <c:pt idx="6">
                  <c:v>6</c:v>
                </c:pt>
                <c:pt idx="7">
                  <c:v>8.2200000000000006</c:v>
                </c:pt>
                <c:pt idx="8">
                  <c:v>25</c:v>
                </c:pt>
              </c:numCache>
            </c:numRef>
          </c:val>
        </c:ser>
        <c:dLbls>
          <c:showLegendKey val="0"/>
          <c:showVal val="0"/>
          <c:showCatName val="1"/>
          <c:showSerName val="0"/>
          <c:showPercent val="1"/>
          <c:showBubbleSize val="0"/>
          <c:showLeaderLines val="1"/>
        </c:dLbls>
        <c:firstSliceAng val="0"/>
      </c:pieChart>
    </c:plotArea>
    <c:plotVisOnly val="1"/>
    <c:dispBlanksAs val="gap"/>
    <c:showDLblsOverMax val="0"/>
  </c:chart>
  <c:spPr>
    <a:ln>
      <a:noFill/>
    </a:ln>
  </c:sp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0"/>
    </mc:Choice>
    <mc:Fallback>
      <c:style val="10"/>
    </mc:Fallback>
  </mc:AlternateContent>
  <c:chart>
    <c:autoTitleDeleted val="0"/>
    <c:plotArea>
      <c:layout/>
      <c:barChart>
        <c:barDir val="col"/>
        <c:grouping val="clustered"/>
        <c:varyColors val="0"/>
        <c:ser>
          <c:idx val="0"/>
          <c:order val="0"/>
          <c:tx>
            <c:strRef>
              <c:f>Sheet2!$C$3</c:f>
              <c:strCache>
                <c:ptCount val="1"/>
                <c:pt idx="0">
                  <c:v>Method 1</c:v>
                </c:pt>
              </c:strCache>
            </c:strRef>
          </c:tx>
          <c:invertIfNegative val="0"/>
          <c:cat>
            <c:strRef>
              <c:f>Sheet2!$D$2:$I$2</c:f>
              <c:strCache>
                <c:ptCount val="6"/>
                <c:pt idx="0">
                  <c:v>2013 L</c:v>
                </c:pt>
                <c:pt idx="1">
                  <c:v>2013 D</c:v>
                </c:pt>
                <c:pt idx="2">
                  <c:v>2014 L</c:v>
                </c:pt>
                <c:pt idx="3">
                  <c:v>2014 D</c:v>
                </c:pt>
                <c:pt idx="4">
                  <c:v>2015 L</c:v>
                </c:pt>
                <c:pt idx="5">
                  <c:v>2015 D</c:v>
                </c:pt>
              </c:strCache>
            </c:strRef>
          </c:cat>
          <c:val>
            <c:numRef>
              <c:f>Sheet2!$D$3:$I$3</c:f>
              <c:numCache>
                <c:formatCode>General</c:formatCode>
                <c:ptCount val="6"/>
                <c:pt idx="0">
                  <c:v>327</c:v>
                </c:pt>
                <c:pt idx="1">
                  <c:v>8694</c:v>
                </c:pt>
                <c:pt idx="2">
                  <c:v>-827</c:v>
                </c:pt>
                <c:pt idx="3">
                  <c:v>-5181</c:v>
                </c:pt>
                <c:pt idx="4">
                  <c:v>-686</c:v>
                </c:pt>
                <c:pt idx="5">
                  <c:v>-5016</c:v>
                </c:pt>
              </c:numCache>
            </c:numRef>
          </c:val>
        </c:ser>
        <c:ser>
          <c:idx val="1"/>
          <c:order val="1"/>
          <c:tx>
            <c:strRef>
              <c:f>Sheet2!$C$4</c:f>
              <c:strCache>
                <c:ptCount val="1"/>
                <c:pt idx="0">
                  <c:v>Method 2</c:v>
                </c:pt>
              </c:strCache>
            </c:strRef>
          </c:tx>
          <c:invertIfNegative val="0"/>
          <c:cat>
            <c:strRef>
              <c:f>Sheet2!$D$2:$I$2</c:f>
              <c:strCache>
                <c:ptCount val="6"/>
                <c:pt idx="0">
                  <c:v>2013 L</c:v>
                </c:pt>
                <c:pt idx="1">
                  <c:v>2013 D</c:v>
                </c:pt>
                <c:pt idx="2">
                  <c:v>2014 L</c:v>
                </c:pt>
                <c:pt idx="3">
                  <c:v>2014 D</c:v>
                </c:pt>
                <c:pt idx="4">
                  <c:v>2015 L</c:v>
                </c:pt>
                <c:pt idx="5">
                  <c:v>2015 D</c:v>
                </c:pt>
              </c:strCache>
            </c:strRef>
          </c:cat>
          <c:val>
            <c:numRef>
              <c:f>Sheet2!$D$4:$I$4</c:f>
              <c:numCache>
                <c:formatCode>General</c:formatCode>
                <c:ptCount val="6"/>
                <c:pt idx="0">
                  <c:v>-127</c:v>
                </c:pt>
                <c:pt idx="1">
                  <c:v>-127</c:v>
                </c:pt>
                <c:pt idx="2">
                  <c:v>0</c:v>
                </c:pt>
                <c:pt idx="3">
                  <c:v>0</c:v>
                </c:pt>
                <c:pt idx="4">
                  <c:v>117</c:v>
                </c:pt>
                <c:pt idx="5">
                  <c:v>117</c:v>
                </c:pt>
              </c:numCache>
            </c:numRef>
          </c:val>
        </c:ser>
        <c:ser>
          <c:idx val="2"/>
          <c:order val="2"/>
          <c:tx>
            <c:strRef>
              <c:f>Sheet2!$C$5</c:f>
              <c:strCache>
                <c:ptCount val="1"/>
                <c:pt idx="0">
                  <c:v>Method 3</c:v>
                </c:pt>
              </c:strCache>
            </c:strRef>
          </c:tx>
          <c:invertIfNegative val="0"/>
          <c:cat>
            <c:strRef>
              <c:f>Sheet2!$D$2:$I$2</c:f>
              <c:strCache>
                <c:ptCount val="6"/>
                <c:pt idx="0">
                  <c:v>2013 L</c:v>
                </c:pt>
                <c:pt idx="1">
                  <c:v>2013 D</c:v>
                </c:pt>
                <c:pt idx="2">
                  <c:v>2014 L</c:v>
                </c:pt>
                <c:pt idx="3">
                  <c:v>2014 D</c:v>
                </c:pt>
                <c:pt idx="4">
                  <c:v>2015 L</c:v>
                </c:pt>
                <c:pt idx="5">
                  <c:v>2015 D</c:v>
                </c:pt>
              </c:strCache>
            </c:strRef>
          </c:cat>
          <c:val>
            <c:numRef>
              <c:f>Sheet2!$D$5:$I$5</c:f>
              <c:numCache>
                <c:formatCode>General</c:formatCode>
                <c:ptCount val="6"/>
                <c:pt idx="0">
                  <c:v>513</c:v>
                </c:pt>
                <c:pt idx="1">
                  <c:v>513</c:v>
                </c:pt>
                <c:pt idx="2">
                  <c:v>180</c:v>
                </c:pt>
                <c:pt idx="3">
                  <c:v>-11</c:v>
                </c:pt>
                <c:pt idx="4">
                  <c:v>337</c:v>
                </c:pt>
                <c:pt idx="5">
                  <c:v>337</c:v>
                </c:pt>
              </c:numCache>
            </c:numRef>
          </c:val>
        </c:ser>
        <c:ser>
          <c:idx val="3"/>
          <c:order val="3"/>
          <c:tx>
            <c:strRef>
              <c:f>Sheet2!$C$6</c:f>
              <c:strCache>
                <c:ptCount val="1"/>
                <c:pt idx="0">
                  <c:v>Method 4</c:v>
                </c:pt>
              </c:strCache>
            </c:strRef>
          </c:tx>
          <c:invertIfNegative val="0"/>
          <c:cat>
            <c:strRef>
              <c:f>Sheet2!$D$2:$I$2</c:f>
              <c:strCache>
                <c:ptCount val="6"/>
                <c:pt idx="0">
                  <c:v>2013 L</c:v>
                </c:pt>
                <c:pt idx="1">
                  <c:v>2013 D</c:v>
                </c:pt>
                <c:pt idx="2">
                  <c:v>2014 L</c:v>
                </c:pt>
                <c:pt idx="3">
                  <c:v>2014 D</c:v>
                </c:pt>
                <c:pt idx="4">
                  <c:v>2015 L</c:v>
                </c:pt>
                <c:pt idx="5">
                  <c:v>2015 D</c:v>
                </c:pt>
              </c:strCache>
            </c:strRef>
          </c:cat>
          <c:val>
            <c:numRef>
              <c:f>Sheet2!$D$6:$I$6</c:f>
              <c:numCache>
                <c:formatCode>General</c:formatCode>
                <c:ptCount val="6"/>
                <c:pt idx="0">
                  <c:v>193</c:v>
                </c:pt>
                <c:pt idx="1">
                  <c:v>193</c:v>
                </c:pt>
                <c:pt idx="2">
                  <c:v>73</c:v>
                </c:pt>
                <c:pt idx="3">
                  <c:v>73</c:v>
                </c:pt>
                <c:pt idx="4">
                  <c:v>263</c:v>
                </c:pt>
                <c:pt idx="5">
                  <c:v>263</c:v>
                </c:pt>
              </c:numCache>
            </c:numRef>
          </c:val>
        </c:ser>
        <c:dLbls>
          <c:showLegendKey val="0"/>
          <c:showVal val="0"/>
          <c:showCatName val="0"/>
          <c:showSerName val="0"/>
          <c:showPercent val="0"/>
          <c:showBubbleSize val="0"/>
        </c:dLbls>
        <c:gapWidth val="150"/>
        <c:axId val="49459968"/>
        <c:axId val="49461504"/>
      </c:barChart>
      <c:catAx>
        <c:axId val="49459968"/>
        <c:scaling>
          <c:orientation val="minMax"/>
        </c:scaling>
        <c:delete val="0"/>
        <c:axPos val="b"/>
        <c:majorTickMark val="out"/>
        <c:minorTickMark val="none"/>
        <c:tickLblPos val="nextTo"/>
        <c:crossAx val="49461504"/>
        <c:crosses val="autoZero"/>
        <c:auto val="1"/>
        <c:lblAlgn val="ctr"/>
        <c:lblOffset val="100"/>
        <c:noMultiLvlLbl val="0"/>
      </c:catAx>
      <c:valAx>
        <c:axId val="49461504"/>
        <c:scaling>
          <c:orientation val="minMax"/>
        </c:scaling>
        <c:delete val="0"/>
        <c:axPos val="l"/>
        <c:majorGridlines/>
        <c:numFmt formatCode="General" sourceLinked="1"/>
        <c:majorTickMark val="out"/>
        <c:minorTickMark val="none"/>
        <c:tickLblPos val="nextTo"/>
        <c:crossAx val="49459968"/>
        <c:crosses val="autoZero"/>
        <c:crossBetween val="between"/>
      </c:valAx>
    </c:plotArea>
    <c:legend>
      <c:legendPos val="r"/>
      <c:layout/>
      <c:overlay val="0"/>
    </c:legend>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0"/>
    </mc:Choice>
    <mc:Fallback>
      <c:style val="10"/>
    </mc:Fallback>
  </mc:AlternateContent>
  <c:chart>
    <c:autoTitleDeleted val="0"/>
    <c:plotArea>
      <c:layout/>
      <c:barChart>
        <c:barDir val="col"/>
        <c:grouping val="clustered"/>
        <c:varyColors val="0"/>
        <c:ser>
          <c:idx val="0"/>
          <c:order val="0"/>
          <c:tx>
            <c:strRef>
              <c:f>Sheet2!$B$32</c:f>
              <c:strCache>
                <c:ptCount val="1"/>
                <c:pt idx="0">
                  <c:v>Nurnberg</c:v>
                </c:pt>
              </c:strCache>
            </c:strRef>
          </c:tx>
          <c:invertIfNegative val="0"/>
          <c:cat>
            <c:strRef>
              <c:f>Sheet2!$C$31:$H$31</c:f>
              <c:strCache>
                <c:ptCount val="6"/>
                <c:pt idx="0">
                  <c:v>2013 L</c:v>
                </c:pt>
                <c:pt idx="1">
                  <c:v>2013 D</c:v>
                </c:pt>
                <c:pt idx="2">
                  <c:v>2014 L</c:v>
                </c:pt>
                <c:pt idx="3">
                  <c:v>2014 D</c:v>
                </c:pt>
                <c:pt idx="4">
                  <c:v>2015 L</c:v>
                </c:pt>
                <c:pt idx="5">
                  <c:v>2015 D</c:v>
                </c:pt>
              </c:strCache>
            </c:strRef>
          </c:cat>
          <c:val>
            <c:numRef>
              <c:f>Sheet2!$C$32:$H$32</c:f>
              <c:numCache>
                <c:formatCode>General</c:formatCode>
                <c:ptCount val="6"/>
                <c:pt idx="0">
                  <c:v>241.03899999999999</c:v>
                </c:pt>
                <c:pt idx="1">
                  <c:v>241.03899999999999</c:v>
                </c:pt>
                <c:pt idx="2">
                  <c:v>47.587000000000003</c:v>
                </c:pt>
                <c:pt idx="3">
                  <c:v>-3.9660000000000002</c:v>
                </c:pt>
                <c:pt idx="4">
                  <c:v>180.14</c:v>
                </c:pt>
                <c:pt idx="5">
                  <c:v>88.9</c:v>
                </c:pt>
              </c:numCache>
            </c:numRef>
          </c:val>
        </c:ser>
        <c:ser>
          <c:idx val="1"/>
          <c:order val="1"/>
          <c:tx>
            <c:strRef>
              <c:f>Sheet2!$B$33</c:f>
              <c:strCache>
                <c:ptCount val="1"/>
                <c:pt idx="0">
                  <c:v>Nurnberg GS</c:v>
                </c:pt>
              </c:strCache>
            </c:strRef>
          </c:tx>
          <c:invertIfNegative val="0"/>
          <c:cat>
            <c:strRef>
              <c:f>Sheet2!$C$31:$H$31</c:f>
              <c:strCache>
                <c:ptCount val="6"/>
                <c:pt idx="0">
                  <c:v>2013 L</c:v>
                </c:pt>
                <c:pt idx="1">
                  <c:v>2013 D</c:v>
                </c:pt>
                <c:pt idx="2">
                  <c:v>2014 L</c:v>
                </c:pt>
                <c:pt idx="3">
                  <c:v>2014 D</c:v>
                </c:pt>
                <c:pt idx="4">
                  <c:v>2015 L</c:v>
                </c:pt>
                <c:pt idx="5">
                  <c:v>2015 D</c:v>
                </c:pt>
              </c:strCache>
            </c:strRef>
          </c:cat>
          <c:val>
            <c:numRef>
              <c:f>Sheet2!$C$33:$H$33</c:f>
              <c:numCache>
                <c:formatCode>General</c:formatCode>
                <c:ptCount val="6"/>
                <c:pt idx="0">
                  <c:v>-95.043000000000006</c:v>
                </c:pt>
                <c:pt idx="1">
                  <c:v>-95.043000000000006</c:v>
                </c:pt>
                <c:pt idx="2">
                  <c:v>0</c:v>
                </c:pt>
                <c:pt idx="3">
                  <c:v>0</c:v>
                </c:pt>
                <c:pt idx="4">
                  <c:v>44.45</c:v>
                </c:pt>
                <c:pt idx="5">
                  <c:v>44.45</c:v>
                </c:pt>
              </c:numCache>
            </c:numRef>
          </c:val>
        </c:ser>
        <c:ser>
          <c:idx val="2"/>
          <c:order val="2"/>
          <c:tx>
            <c:strRef>
              <c:f>Sheet2!$B$34</c:f>
              <c:strCache>
                <c:ptCount val="1"/>
                <c:pt idx="0">
                  <c:v>Nurnber Fall</c:v>
                </c:pt>
              </c:strCache>
            </c:strRef>
          </c:tx>
          <c:invertIfNegative val="0"/>
          <c:cat>
            <c:strRef>
              <c:f>Sheet2!$C$31:$H$31</c:f>
              <c:strCache>
                <c:ptCount val="6"/>
                <c:pt idx="0">
                  <c:v>2013 L</c:v>
                </c:pt>
                <c:pt idx="1">
                  <c:v>2013 D</c:v>
                </c:pt>
                <c:pt idx="2">
                  <c:v>2014 L</c:v>
                </c:pt>
                <c:pt idx="3">
                  <c:v>2014 D</c:v>
                </c:pt>
                <c:pt idx="4">
                  <c:v>2015 L</c:v>
                </c:pt>
                <c:pt idx="5">
                  <c:v>2015 D</c:v>
                </c:pt>
              </c:strCache>
            </c:strRef>
          </c:cat>
          <c:val>
            <c:numRef>
              <c:f>Sheet2!$C$34:$H$34</c:f>
              <c:numCache>
                <c:formatCode>General</c:formatCode>
                <c:ptCount val="6"/>
                <c:pt idx="0">
                  <c:v>577.04499999999996</c:v>
                </c:pt>
                <c:pt idx="1">
                  <c:v>577.04499999999996</c:v>
                </c:pt>
                <c:pt idx="2">
                  <c:v>97.156000000000006</c:v>
                </c:pt>
                <c:pt idx="3">
                  <c:v>-5.9480000000000004</c:v>
                </c:pt>
                <c:pt idx="4">
                  <c:v>315.83</c:v>
                </c:pt>
                <c:pt idx="5">
                  <c:v>131.011</c:v>
                </c:pt>
              </c:numCache>
            </c:numRef>
          </c:val>
        </c:ser>
        <c:dLbls>
          <c:showLegendKey val="0"/>
          <c:showVal val="0"/>
          <c:showCatName val="0"/>
          <c:showSerName val="0"/>
          <c:showPercent val="0"/>
          <c:showBubbleSize val="0"/>
        </c:dLbls>
        <c:gapWidth val="150"/>
        <c:axId val="49474944"/>
        <c:axId val="49816704"/>
      </c:barChart>
      <c:catAx>
        <c:axId val="49474944"/>
        <c:scaling>
          <c:orientation val="minMax"/>
        </c:scaling>
        <c:delete val="0"/>
        <c:axPos val="b"/>
        <c:majorTickMark val="out"/>
        <c:minorTickMark val="none"/>
        <c:tickLblPos val="nextTo"/>
        <c:crossAx val="49816704"/>
        <c:crosses val="autoZero"/>
        <c:auto val="1"/>
        <c:lblAlgn val="ctr"/>
        <c:lblOffset val="100"/>
        <c:noMultiLvlLbl val="0"/>
      </c:catAx>
      <c:valAx>
        <c:axId val="49816704"/>
        <c:scaling>
          <c:orientation val="minMax"/>
        </c:scaling>
        <c:delete val="0"/>
        <c:axPos val="l"/>
        <c:majorGridlines/>
        <c:numFmt formatCode="General" sourceLinked="1"/>
        <c:majorTickMark val="out"/>
        <c:minorTickMark val="none"/>
        <c:tickLblPos val="nextTo"/>
        <c:crossAx val="49474944"/>
        <c:crosses val="autoZero"/>
        <c:crossBetween val="between"/>
      </c:valAx>
    </c:plotArea>
    <c:legend>
      <c:legendPos val="r"/>
      <c:layout/>
      <c:overlay val="0"/>
    </c:legend>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0"/>
    </mc:Choice>
    <mc:Fallback>
      <c:style val="10"/>
    </mc:Fallback>
  </mc:AlternateContent>
  <c:chart>
    <c:autoTitleDeleted val="0"/>
    <c:plotArea>
      <c:layout/>
      <c:barChart>
        <c:barDir val="col"/>
        <c:grouping val="clustered"/>
        <c:varyColors val="0"/>
        <c:ser>
          <c:idx val="0"/>
          <c:order val="0"/>
          <c:tx>
            <c:strRef>
              <c:f>Sheet3!$B$3</c:f>
              <c:strCache>
                <c:ptCount val="1"/>
                <c:pt idx="0">
                  <c:v>Ext</c:v>
                </c:pt>
              </c:strCache>
            </c:strRef>
          </c:tx>
          <c:invertIfNegative val="0"/>
          <c:cat>
            <c:strRef>
              <c:f>Sheet3!$C$2:$H$2</c:f>
              <c:strCache>
                <c:ptCount val="6"/>
                <c:pt idx="0">
                  <c:v>2013 L </c:v>
                </c:pt>
                <c:pt idx="1">
                  <c:v>2013 D</c:v>
                </c:pt>
                <c:pt idx="2">
                  <c:v>2014 L</c:v>
                </c:pt>
                <c:pt idx="3">
                  <c:v>2014 D</c:v>
                </c:pt>
                <c:pt idx="4">
                  <c:v>2015 L</c:v>
                </c:pt>
                <c:pt idx="5">
                  <c:v>2015 D</c:v>
                </c:pt>
              </c:strCache>
            </c:strRef>
          </c:cat>
          <c:val>
            <c:numRef>
              <c:f>Sheet3!$C$3:$H$3</c:f>
              <c:numCache>
                <c:formatCode>General</c:formatCode>
                <c:ptCount val="6"/>
                <c:pt idx="0">
                  <c:v>77.91</c:v>
                </c:pt>
                <c:pt idx="1">
                  <c:v>24.76</c:v>
                </c:pt>
                <c:pt idx="2">
                  <c:v>77.91</c:v>
                </c:pt>
                <c:pt idx="3">
                  <c:v>44.57</c:v>
                </c:pt>
                <c:pt idx="4">
                  <c:v>77.91</c:v>
                </c:pt>
                <c:pt idx="5">
                  <c:v>37.299999999999997</c:v>
                </c:pt>
              </c:numCache>
            </c:numRef>
          </c:val>
        </c:ser>
        <c:ser>
          <c:idx val="1"/>
          <c:order val="1"/>
          <c:tx>
            <c:strRef>
              <c:f>Sheet3!$B$4</c:f>
              <c:strCache>
                <c:ptCount val="1"/>
                <c:pt idx="0">
                  <c:v>Ext + Int</c:v>
                </c:pt>
              </c:strCache>
            </c:strRef>
          </c:tx>
          <c:invertIfNegative val="0"/>
          <c:cat>
            <c:strRef>
              <c:f>Sheet3!$C$2:$H$2</c:f>
              <c:strCache>
                <c:ptCount val="6"/>
                <c:pt idx="0">
                  <c:v>2013 L </c:v>
                </c:pt>
                <c:pt idx="1">
                  <c:v>2013 D</c:v>
                </c:pt>
                <c:pt idx="2">
                  <c:v>2014 L</c:v>
                </c:pt>
                <c:pt idx="3">
                  <c:v>2014 D</c:v>
                </c:pt>
                <c:pt idx="4">
                  <c:v>2015 L</c:v>
                </c:pt>
                <c:pt idx="5">
                  <c:v>2015 D</c:v>
                </c:pt>
              </c:strCache>
            </c:strRef>
          </c:cat>
          <c:val>
            <c:numRef>
              <c:f>Sheet3!$C$4:$H$4</c:f>
              <c:numCache>
                <c:formatCode>General</c:formatCode>
                <c:ptCount val="6"/>
                <c:pt idx="0">
                  <c:v>87.37</c:v>
                </c:pt>
                <c:pt idx="1">
                  <c:v>25.43</c:v>
                </c:pt>
                <c:pt idx="2">
                  <c:v>79.78</c:v>
                </c:pt>
                <c:pt idx="3">
                  <c:v>44.57</c:v>
                </c:pt>
                <c:pt idx="4">
                  <c:v>84.98</c:v>
                </c:pt>
                <c:pt idx="5">
                  <c:v>37.549999999999997</c:v>
                </c:pt>
              </c:numCache>
            </c:numRef>
          </c:val>
        </c:ser>
        <c:ser>
          <c:idx val="2"/>
          <c:order val="2"/>
          <c:tx>
            <c:strRef>
              <c:f>Sheet3!$B$5</c:f>
              <c:strCache>
                <c:ptCount val="1"/>
                <c:pt idx="0">
                  <c:v>10% Reduct</c:v>
                </c:pt>
              </c:strCache>
            </c:strRef>
          </c:tx>
          <c:invertIfNegative val="0"/>
          <c:cat>
            <c:strRef>
              <c:f>Sheet3!$C$2:$H$2</c:f>
              <c:strCache>
                <c:ptCount val="6"/>
                <c:pt idx="0">
                  <c:v>2013 L </c:v>
                </c:pt>
                <c:pt idx="1">
                  <c:v>2013 D</c:v>
                </c:pt>
                <c:pt idx="2">
                  <c:v>2014 L</c:v>
                </c:pt>
                <c:pt idx="3">
                  <c:v>2014 D</c:v>
                </c:pt>
                <c:pt idx="4">
                  <c:v>2015 L</c:v>
                </c:pt>
                <c:pt idx="5">
                  <c:v>2015 D</c:v>
                </c:pt>
              </c:strCache>
            </c:strRef>
          </c:cat>
          <c:val>
            <c:numRef>
              <c:f>Sheet3!$C$5:$H$5</c:f>
              <c:numCache>
                <c:formatCode>General</c:formatCode>
                <c:ptCount val="6"/>
                <c:pt idx="0">
                  <c:v>79.58</c:v>
                </c:pt>
                <c:pt idx="1">
                  <c:v>22.96</c:v>
                </c:pt>
                <c:pt idx="2">
                  <c:v>71.98</c:v>
                </c:pt>
                <c:pt idx="3">
                  <c:v>40.119999999999997</c:v>
                </c:pt>
                <c:pt idx="4">
                  <c:v>77.19</c:v>
                </c:pt>
                <c:pt idx="5">
                  <c:v>33.82</c:v>
                </c:pt>
              </c:numCache>
            </c:numRef>
          </c:val>
        </c:ser>
        <c:ser>
          <c:idx val="3"/>
          <c:order val="3"/>
          <c:tx>
            <c:strRef>
              <c:f>Sheet3!$B$6</c:f>
              <c:strCache>
                <c:ptCount val="1"/>
                <c:pt idx="0">
                  <c:v>20% Reduct</c:v>
                </c:pt>
              </c:strCache>
            </c:strRef>
          </c:tx>
          <c:invertIfNegative val="0"/>
          <c:cat>
            <c:strRef>
              <c:f>Sheet3!$C$2:$H$2</c:f>
              <c:strCache>
                <c:ptCount val="6"/>
                <c:pt idx="0">
                  <c:v>2013 L </c:v>
                </c:pt>
                <c:pt idx="1">
                  <c:v>2013 D</c:v>
                </c:pt>
                <c:pt idx="2">
                  <c:v>2014 L</c:v>
                </c:pt>
                <c:pt idx="3">
                  <c:v>2014 D</c:v>
                </c:pt>
                <c:pt idx="4">
                  <c:v>2015 L</c:v>
                </c:pt>
                <c:pt idx="5">
                  <c:v>2015 D</c:v>
                </c:pt>
              </c:strCache>
            </c:strRef>
          </c:cat>
          <c:val>
            <c:numRef>
              <c:f>Sheet3!$C$6:$H$6</c:f>
              <c:numCache>
                <c:formatCode>General</c:formatCode>
                <c:ptCount val="6"/>
                <c:pt idx="0">
                  <c:v>71.790000000000006</c:v>
                </c:pt>
                <c:pt idx="1">
                  <c:v>20.48</c:v>
                </c:pt>
                <c:pt idx="2">
                  <c:v>64.19</c:v>
                </c:pt>
                <c:pt idx="3">
                  <c:v>35.659999999999997</c:v>
                </c:pt>
                <c:pt idx="4">
                  <c:v>69.400000000000006</c:v>
                </c:pt>
                <c:pt idx="5">
                  <c:v>30.09</c:v>
                </c:pt>
              </c:numCache>
            </c:numRef>
          </c:val>
        </c:ser>
        <c:ser>
          <c:idx val="4"/>
          <c:order val="4"/>
          <c:tx>
            <c:strRef>
              <c:f>Sheet3!$B$7</c:f>
              <c:strCache>
                <c:ptCount val="1"/>
                <c:pt idx="0">
                  <c:v>40% Reduct</c:v>
                </c:pt>
              </c:strCache>
            </c:strRef>
          </c:tx>
          <c:invertIfNegative val="0"/>
          <c:cat>
            <c:strRef>
              <c:f>Sheet3!$C$2:$H$2</c:f>
              <c:strCache>
                <c:ptCount val="6"/>
                <c:pt idx="0">
                  <c:v>2013 L </c:v>
                </c:pt>
                <c:pt idx="1">
                  <c:v>2013 D</c:v>
                </c:pt>
                <c:pt idx="2">
                  <c:v>2014 L</c:v>
                </c:pt>
                <c:pt idx="3">
                  <c:v>2014 D</c:v>
                </c:pt>
                <c:pt idx="4">
                  <c:v>2015 L</c:v>
                </c:pt>
                <c:pt idx="5">
                  <c:v>2015 D</c:v>
                </c:pt>
              </c:strCache>
            </c:strRef>
          </c:cat>
          <c:val>
            <c:numRef>
              <c:f>Sheet3!$C$7:$H$7</c:f>
              <c:numCache>
                <c:formatCode>General</c:formatCode>
                <c:ptCount val="6"/>
                <c:pt idx="0">
                  <c:v>56.21</c:v>
                </c:pt>
                <c:pt idx="1">
                  <c:v>15.53</c:v>
                </c:pt>
                <c:pt idx="2">
                  <c:v>48.61</c:v>
                </c:pt>
                <c:pt idx="3">
                  <c:v>26.74</c:v>
                </c:pt>
                <c:pt idx="4">
                  <c:v>53.81</c:v>
                </c:pt>
                <c:pt idx="5">
                  <c:v>22.63</c:v>
                </c:pt>
              </c:numCache>
            </c:numRef>
          </c:val>
        </c:ser>
        <c:dLbls>
          <c:showLegendKey val="0"/>
          <c:showVal val="0"/>
          <c:showCatName val="0"/>
          <c:showSerName val="0"/>
          <c:showPercent val="0"/>
          <c:showBubbleSize val="0"/>
        </c:dLbls>
        <c:gapWidth val="150"/>
        <c:axId val="49848320"/>
        <c:axId val="49849856"/>
      </c:barChart>
      <c:catAx>
        <c:axId val="49848320"/>
        <c:scaling>
          <c:orientation val="minMax"/>
        </c:scaling>
        <c:delete val="0"/>
        <c:axPos val="b"/>
        <c:majorTickMark val="out"/>
        <c:minorTickMark val="none"/>
        <c:tickLblPos val="nextTo"/>
        <c:crossAx val="49849856"/>
        <c:crosses val="autoZero"/>
        <c:auto val="1"/>
        <c:lblAlgn val="ctr"/>
        <c:lblOffset val="100"/>
        <c:noMultiLvlLbl val="0"/>
      </c:catAx>
      <c:valAx>
        <c:axId val="49849856"/>
        <c:scaling>
          <c:orientation val="minMax"/>
        </c:scaling>
        <c:delete val="0"/>
        <c:axPos val="l"/>
        <c:majorGridlines/>
        <c:numFmt formatCode="General" sourceLinked="1"/>
        <c:majorTickMark val="out"/>
        <c:minorTickMark val="none"/>
        <c:tickLblPos val="nextTo"/>
        <c:crossAx val="49848320"/>
        <c:crosses val="autoZero"/>
        <c:crossBetween val="between"/>
      </c:valAx>
    </c:plotArea>
    <c:legend>
      <c:legendPos val="r"/>
      <c:layout/>
      <c:overlay val="0"/>
    </c:legend>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1069</TotalTime>
  <Pages>6</Pages>
  <Words>1257</Words>
  <Characters>7167</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Polk County Government</Company>
  <LinksUpToDate>false</LinksUpToDate>
  <CharactersWithSpaces>8408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Jeremy Williamson</dc:creator>
  <cp:lastModifiedBy>katelin Holm</cp:lastModifiedBy>
  <cp:revision>12</cp:revision>
  <cp:lastPrinted>2016-07-26T20:09:00Z</cp:lastPrinted>
  <dcterms:created xsi:type="dcterms:W3CDTF">2016-07-25T13:26:00Z</dcterms:created>
  <dcterms:modified xsi:type="dcterms:W3CDTF">2016-07-27T21:09:00Z</dcterms:modified>
</cp:coreProperties>
</file>