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8FA3" w14:textId="6A210346" w:rsidR="00670615" w:rsidRPr="006E2584" w:rsidRDefault="009974B4">
      <w:pPr>
        <w:jc w:val="center"/>
        <w:rPr>
          <w:rFonts w:ascii="Arial" w:eastAsia="Arial Black" w:hAnsi="Arial" w:cs="Arial"/>
          <w:sz w:val="28"/>
          <w:szCs w:val="28"/>
        </w:rPr>
      </w:pPr>
      <w:r>
        <w:rPr>
          <w:rFonts w:ascii="Arial Black" w:eastAsia="Arial Black" w:hAnsi="Arial Black" w:cs="Arial Black"/>
          <w:sz w:val="28"/>
          <w:szCs w:val="28"/>
        </w:rPr>
        <w:t xml:space="preserve">Pipe and North Pipe Lakes: </w:t>
      </w:r>
      <w:r w:rsidR="006E2584" w:rsidRPr="00E840C5">
        <w:rPr>
          <w:rFonts w:ascii="Arial" w:eastAsia="Arial Black" w:hAnsi="Arial" w:cs="Arial"/>
          <w:b/>
          <w:bCs/>
          <w:sz w:val="28"/>
          <w:szCs w:val="28"/>
        </w:rPr>
        <w:t xml:space="preserve">an analysis of </w:t>
      </w:r>
      <w:r w:rsidR="007F59CD">
        <w:rPr>
          <w:rFonts w:ascii="Arial" w:eastAsia="Arial Black" w:hAnsi="Arial" w:cs="Arial"/>
          <w:b/>
          <w:bCs/>
          <w:sz w:val="28"/>
          <w:szCs w:val="28"/>
        </w:rPr>
        <w:t xml:space="preserve">hydrologic pathways, </w:t>
      </w:r>
      <w:r w:rsidR="00E840C5" w:rsidRPr="00E840C5">
        <w:rPr>
          <w:rFonts w:ascii="Arial" w:eastAsia="Arial Black" w:hAnsi="Arial" w:cs="Arial"/>
          <w:b/>
          <w:bCs/>
          <w:sz w:val="28"/>
          <w:szCs w:val="28"/>
        </w:rPr>
        <w:t xml:space="preserve">soils, </w:t>
      </w:r>
      <w:r w:rsidR="006E2584" w:rsidRPr="00E840C5">
        <w:rPr>
          <w:rFonts w:ascii="Arial" w:eastAsia="Arial Black" w:hAnsi="Arial" w:cs="Arial"/>
          <w:b/>
          <w:bCs/>
          <w:sz w:val="28"/>
          <w:szCs w:val="28"/>
        </w:rPr>
        <w:t xml:space="preserve">land use, </w:t>
      </w:r>
      <w:r w:rsidR="00E840C5" w:rsidRPr="00E840C5">
        <w:rPr>
          <w:rFonts w:ascii="Arial" w:eastAsia="Arial Black" w:hAnsi="Arial" w:cs="Arial"/>
          <w:b/>
          <w:bCs/>
          <w:sz w:val="28"/>
          <w:szCs w:val="28"/>
        </w:rPr>
        <w:t>precipitation, and water quality trends</w:t>
      </w:r>
      <w:r w:rsidR="00E840C5">
        <w:rPr>
          <w:rFonts w:ascii="Arial" w:eastAsia="Arial Black" w:hAnsi="Arial" w:cs="Arial"/>
          <w:sz w:val="28"/>
          <w:szCs w:val="28"/>
        </w:rPr>
        <w:t xml:space="preserve"> </w:t>
      </w:r>
    </w:p>
    <w:p w14:paraId="24EFA926" w14:textId="77777777" w:rsidR="00D76A84" w:rsidRDefault="009974B4">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Leslie Ludtke, and Joe Magner, Watershed Recovery LLC, and </w:t>
      </w:r>
    </w:p>
    <w:p w14:paraId="25AF2A19" w14:textId="1FC8C792" w:rsidR="00670615" w:rsidRDefault="009974B4">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Jeremy Williamson</w:t>
      </w:r>
      <w:r w:rsidR="00D76A84">
        <w:rPr>
          <w:rFonts w:ascii="Times New Roman" w:eastAsia="Times New Roman" w:hAnsi="Times New Roman" w:cs="Times New Roman"/>
          <w:i/>
          <w:sz w:val="24"/>
          <w:szCs w:val="24"/>
        </w:rPr>
        <w:t>, Amery WI</w:t>
      </w:r>
    </w:p>
    <w:p w14:paraId="4BEEB84E" w14:textId="0598DDD1" w:rsidR="00670615" w:rsidRDefault="009974B4">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Draft December </w:t>
      </w:r>
      <w:r w:rsidR="006E2584">
        <w:rPr>
          <w:rFonts w:ascii="Times New Roman" w:eastAsia="Times New Roman" w:hAnsi="Times New Roman" w:cs="Times New Roman"/>
          <w:i/>
          <w:sz w:val="24"/>
          <w:szCs w:val="24"/>
        </w:rPr>
        <w:t>31</w:t>
      </w:r>
      <w:r w:rsidR="006E2584" w:rsidRPr="006E2584">
        <w:rPr>
          <w:rFonts w:ascii="Times New Roman" w:eastAsia="Times New Roman" w:hAnsi="Times New Roman" w:cs="Times New Roman"/>
          <w:i/>
          <w:sz w:val="24"/>
          <w:szCs w:val="24"/>
          <w:vertAlign w:val="superscript"/>
        </w:rPr>
        <w:t>st</w:t>
      </w:r>
      <w:r w:rsidR="006E2584">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2021</w:t>
      </w:r>
      <w:r w:rsidR="00E13E3B">
        <w:rPr>
          <w:rFonts w:ascii="Times New Roman" w:eastAsia="Times New Roman" w:hAnsi="Times New Roman" w:cs="Times New Roman"/>
          <w:i/>
          <w:sz w:val="24"/>
          <w:szCs w:val="24"/>
        </w:rPr>
        <w:t>, revised 1-1</w:t>
      </w:r>
      <w:r w:rsidR="00C51434">
        <w:rPr>
          <w:rFonts w:ascii="Times New Roman" w:eastAsia="Times New Roman" w:hAnsi="Times New Roman" w:cs="Times New Roman"/>
          <w:i/>
          <w:sz w:val="24"/>
          <w:szCs w:val="24"/>
        </w:rPr>
        <w:t>3</w:t>
      </w:r>
      <w:r w:rsidR="00E13E3B">
        <w:rPr>
          <w:rFonts w:ascii="Times New Roman" w:eastAsia="Times New Roman" w:hAnsi="Times New Roman" w:cs="Times New Roman"/>
          <w:i/>
          <w:sz w:val="24"/>
          <w:szCs w:val="24"/>
        </w:rPr>
        <w:t>-22</w:t>
      </w:r>
    </w:p>
    <w:p w14:paraId="20215D28" w14:textId="41C4DAEE" w:rsidR="00670615" w:rsidRDefault="007422AC" w:rsidP="007422A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 Findings:</w:t>
      </w:r>
    </w:p>
    <w:p w14:paraId="1A71E847" w14:textId="273BEB4B" w:rsidR="001C586F" w:rsidRDefault="008852C8" w:rsidP="003820B8">
      <w:pPr>
        <w:pStyle w:val="ListParagraph"/>
        <w:numPr>
          <w:ilvl w:val="0"/>
          <w:numId w:val="1"/>
        </w:numPr>
        <w:rPr>
          <w:rFonts w:ascii="Times New Roman" w:eastAsia="Times New Roman" w:hAnsi="Times New Roman" w:cs="Times New Roman"/>
          <w:bCs/>
          <w:sz w:val="24"/>
          <w:szCs w:val="24"/>
        </w:rPr>
      </w:pPr>
      <w:r w:rsidRPr="003820B8">
        <w:rPr>
          <w:rFonts w:ascii="Times New Roman" w:eastAsia="Times New Roman" w:hAnsi="Times New Roman" w:cs="Times New Roman"/>
          <w:bCs/>
          <w:sz w:val="24"/>
          <w:szCs w:val="24"/>
        </w:rPr>
        <w:t>North Pipe Lake ha</w:t>
      </w:r>
      <w:r w:rsidR="001C586F">
        <w:rPr>
          <w:rFonts w:ascii="Times New Roman" w:eastAsia="Times New Roman" w:hAnsi="Times New Roman" w:cs="Times New Roman"/>
          <w:bCs/>
          <w:sz w:val="24"/>
          <w:szCs w:val="24"/>
        </w:rPr>
        <w:t>d</w:t>
      </w:r>
      <w:r w:rsidRPr="003820B8">
        <w:rPr>
          <w:rFonts w:ascii="Times New Roman" w:eastAsia="Times New Roman" w:hAnsi="Times New Roman" w:cs="Times New Roman"/>
          <w:bCs/>
          <w:sz w:val="24"/>
          <w:szCs w:val="24"/>
        </w:rPr>
        <w:t xml:space="preserve"> more watershed input than Pipe Lake and requires more buffer/attenuation of pollutant inputs</w:t>
      </w:r>
      <w:r w:rsidR="00662372" w:rsidRPr="003820B8">
        <w:rPr>
          <w:rFonts w:ascii="Times New Roman" w:eastAsia="Times New Roman" w:hAnsi="Times New Roman" w:cs="Times New Roman"/>
          <w:bCs/>
          <w:sz w:val="24"/>
          <w:szCs w:val="24"/>
        </w:rPr>
        <w:t xml:space="preserve"> than Pipe Lake</w:t>
      </w:r>
      <w:r w:rsidRPr="003820B8">
        <w:rPr>
          <w:rFonts w:ascii="Times New Roman" w:eastAsia="Times New Roman" w:hAnsi="Times New Roman" w:cs="Times New Roman"/>
          <w:bCs/>
          <w:sz w:val="24"/>
          <w:szCs w:val="24"/>
        </w:rPr>
        <w:t>.</w:t>
      </w:r>
      <w:r w:rsidR="003820B8" w:rsidRPr="003820B8">
        <w:rPr>
          <w:rFonts w:ascii="Times New Roman" w:eastAsia="Times New Roman" w:hAnsi="Times New Roman" w:cs="Times New Roman"/>
          <w:bCs/>
          <w:sz w:val="24"/>
          <w:szCs w:val="24"/>
        </w:rPr>
        <w:t xml:space="preserve"> </w:t>
      </w:r>
      <w:r w:rsidR="001C586F">
        <w:rPr>
          <w:rFonts w:ascii="Times New Roman" w:eastAsia="Times New Roman" w:hAnsi="Times New Roman" w:cs="Times New Roman"/>
          <w:bCs/>
          <w:sz w:val="24"/>
          <w:szCs w:val="24"/>
        </w:rPr>
        <w:t xml:space="preserve">Nearshore groundwater input </w:t>
      </w:r>
      <w:r w:rsidR="003C3340">
        <w:rPr>
          <w:rFonts w:ascii="Times New Roman" w:eastAsia="Times New Roman" w:hAnsi="Times New Roman" w:cs="Times New Roman"/>
          <w:bCs/>
          <w:sz w:val="24"/>
          <w:szCs w:val="24"/>
        </w:rPr>
        <w:t xml:space="preserve">occurs </w:t>
      </w:r>
      <w:r w:rsidR="001C586F">
        <w:rPr>
          <w:rFonts w:ascii="Times New Roman" w:eastAsia="Times New Roman" w:hAnsi="Times New Roman" w:cs="Times New Roman"/>
          <w:bCs/>
          <w:sz w:val="24"/>
          <w:szCs w:val="24"/>
        </w:rPr>
        <w:t xml:space="preserve">as Variable Source Area exchange </w:t>
      </w:r>
      <w:r w:rsidR="003C3340">
        <w:rPr>
          <w:rFonts w:ascii="Times New Roman" w:eastAsia="Times New Roman" w:hAnsi="Times New Roman" w:cs="Times New Roman"/>
          <w:bCs/>
          <w:sz w:val="24"/>
          <w:szCs w:val="24"/>
        </w:rPr>
        <w:t>with riparian wetlands and</w:t>
      </w:r>
      <w:r w:rsidR="001C586F">
        <w:rPr>
          <w:rFonts w:ascii="Times New Roman" w:eastAsia="Times New Roman" w:hAnsi="Times New Roman" w:cs="Times New Roman"/>
          <w:bCs/>
          <w:sz w:val="24"/>
          <w:szCs w:val="24"/>
        </w:rPr>
        <w:t xml:space="preserve"> the lake.</w:t>
      </w:r>
    </w:p>
    <w:p w14:paraId="748B087F" w14:textId="79C2E992" w:rsidR="008852C8" w:rsidRPr="003820B8" w:rsidRDefault="001C586F" w:rsidP="003820B8">
      <w:pPr>
        <w:pStyle w:val="ListParagraph"/>
        <w:numPr>
          <w:ilvl w:val="0"/>
          <w:numId w:val="1"/>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Pipe Lake </w:t>
      </w:r>
      <w:r w:rsidR="003C3340">
        <w:rPr>
          <w:rFonts w:ascii="Times New Roman" w:eastAsia="Times New Roman" w:hAnsi="Times New Roman" w:cs="Times New Roman"/>
          <w:bCs/>
          <w:sz w:val="24"/>
          <w:szCs w:val="24"/>
        </w:rPr>
        <w:t xml:space="preserve">is uniquely different from North Pipe Lake with </w:t>
      </w:r>
      <w:r w:rsidR="007104F0">
        <w:rPr>
          <w:rFonts w:ascii="Times New Roman" w:eastAsia="Times New Roman" w:hAnsi="Times New Roman" w:cs="Times New Roman"/>
          <w:bCs/>
          <w:sz w:val="24"/>
          <w:szCs w:val="24"/>
        </w:rPr>
        <w:t>a smaller</w:t>
      </w:r>
      <w:r w:rsidR="003C3340">
        <w:rPr>
          <w:rFonts w:ascii="Times New Roman" w:eastAsia="Times New Roman" w:hAnsi="Times New Roman" w:cs="Times New Roman"/>
          <w:bCs/>
          <w:sz w:val="24"/>
          <w:szCs w:val="24"/>
        </w:rPr>
        <w:t xml:space="preserve"> watershed</w:t>
      </w:r>
      <w:r w:rsidR="007104F0">
        <w:rPr>
          <w:rFonts w:ascii="Times New Roman" w:eastAsia="Times New Roman" w:hAnsi="Times New Roman" w:cs="Times New Roman"/>
          <w:bCs/>
          <w:sz w:val="24"/>
          <w:szCs w:val="24"/>
        </w:rPr>
        <w:t>,</w:t>
      </w:r>
      <w:r w:rsidR="003C3340">
        <w:rPr>
          <w:rFonts w:ascii="Times New Roman" w:eastAsia="Times New Roman" w:hAnsi="Times New Roman" w:cs="Times New Roman"/>
          <w:bCs/>
          <w:sz w:val="24"/>
          <w:szCs w:val="24"/>
        </w:rPr>
        <w:t xml:space="preserve"> riparian wetland input and a longer more buffered hydraulic residence time.</w:t>
      </w:r>
      <w:r>
        <w:rPr>
          <w:rFonts w:ascii="Times New Roman" w:eastAsia="Times New Roman" w:hAnsi="Times New Roman" w:cs="Times New Roman"/>
          <w:bCs/>
          <w:sz w:val="24"/>
          <w:szCs w:val="24"/>
        </w:rPr>
        <w:t xml:space="preserve"> </w:t>
      </w:r>
    </w:p>
    <w:p w14:paraId="2258A9DC" w14:textId="53CACE7D" w:rsidR="008852C8" w:rsidRPr="003820B8" w:rsidRDefault="008852C8" w:rsidP="003820B8">
      <w:pPr>
        <w:pStyle w:val="ListParagraph"/>
        <w:numPr>
          <w:ilvl w:val="0"/>
          <w:numId w:val="1"/>
        </w:numPr>
        <w:rPr>
          <w:rFonts w:ascii="Times New Roman" w:eastAsia="Times New Roman" w:hAnsi="Times New Roman" w:cs="Times New Roman"/>
          <w:bCs/>
          <w:sz w:val="24"/>
          <w:szCs w:val="24"/>
        </w:rPr>
      </w:pPr>
      <w:r w:rsidRPr="003820B8">
        <w:rPr>
          <w:rFonts w:ascii="Times New Roman" w:eastAsia="Times New Roman" w:hAnsi="Times New Roman" w:cs="Times New Roman"/>
          <w:bCs/>
          <w:sz w:val="24"/>
          <w:szCs w:val="24"/>
        </w:rPr>
        <w:t xml:space="preserve">Climate drove the hydrologic pathways </w:t>
      </w:r>
      <w:r w:rsidR="00662372" w:rsidRPr="003820B8">
        <w:rPr>
          <w:rFonts w:ascii="Times New Roman" w:eastAsia="Times New Roman" w:hAnsi="Times New Roman" w:cs="Times New Roman"/>
          <w:bCs/>
          <w:sz w:val="24"/>
          <w:szCs w:val="24"/>
        </w:rPr>
        <w:t xml:space="preserve">and trophic response </w:t>
      </w:r>
      <w:r w:rsidRPr="003820B8">
        <w:rPr>
          <w:rFonts w:ascii="Times New Roman" w:eastAsia="Times New Roman" w:hAnsi="Times New Roman" w:cs="Times New Roman"/>
          <w:bCs/>
          <w:sz w:val="24"/>
          <w:szCs w:val="24"/>
        </w:rPr>
        <w:t xml:space="preserve">as shown by both modeling </w:t>
      </w:r>
      <w:r w:rsidR="00662372" w:rsidRPr="003820B8">
        <w:rPr>
          <w:rFonts w:ascii="Times New Roman" w:eastAsia="Times New Roman" w:hAnsi="Times New Roman" w:cs="Times New Roman"/>
          <w:bCs/>
          <w:sz w:val="24"/>
          <w:szCs w:val="24"/>
        </w:rPr>
        <w:t>and data collection</w:t>
      </w:r>
      <w:r w:rsidR="003820B8" w:rsidRPr="003820B8">
        <w:rPr>
          <w:rFonts w:ascii="Times New Roman" w:eastAsia="Times New Roman" w:hAnsi="Times New Roman" w:cs="Times New Roman"/>
          <w:bCs/>
          <w:sz w:val="24"/>
          <w:szCs w:val="24"/>
        </w:rPr>
        <w:t xml:space="preserve"> and trend analysis</w:t>
      </w:r>
      <w:r w:rsidR="00662372" w:rsidRPr="003820B8">
        <w:rPr>
          <w:rFonts w:ascii="Times New Roman" w:eastAsia="Times New Roman" w:hAnsi="Times New Roman" w:cs="Times New Roman"/>
          <w:bCs/>
          <w:sz w:val="24"/>
          <w:szCs w:val="24"/>
        </w:rPr>
        <w:t>.</w:t>
      </w:r>
    </w:p>
    <w:p w14:paraId="10E45CED" w14:textId="6DD1CCBF" w:rsidR="00662372" w:rsidRPr="003820B8" w:rsidRDefault="00662372" w:rsidP="003820B8">
      <w:pPr>
        <w:pStyle w:val="ListParagraph"/>
        <w:numPr>
          <w:ilvl w:val="0"/>
          <w:numId w:val="1"/>
        </w:numPr>
        <w:rPr>
          <w:rFonts w:ascii="Times New Roman" w:eastAsia="Times New Roman" w:hAnsi="Times New Roman" w:cs="Times New Roman"/>
          <w:bCs/>
          <w:sz w:val="24"/>
          <w:szCs w:val="24"/>
        </w:rPr>
      </w:pPr>
      <w:r w:rsidRPr="003820B8">
        <w:rPr>
          <w:rFonts w:ascii="Times New Roman" w:eastAsia="Times New Roman" w:hAnsi="Times New Roman" w:cs="Times New Roman"/>
          <w:bCs/>
          <w:sz w:val="24"/>
          <w:szCs w:val="24"/>
        </w:rPr>
        <w:t xml:space="preserve">Soil characteristics point to more </w:t>
      </w:r>
      <w:r w:rsidR="003820B8" w:rsidRPr="003820B8">
        <w:rPr>
          <w:rFonts w:ascii="Times New Roman" w:eastAsia="Times New Roman" w:hAnsi="Times New Roman" w:cs="Times New Roman"/>
          <w:bCs/>
          <w:sz w:val="24"/>
          <w:szCs w:val="24"/>
        </w:rPr>
        <w:t>micro-overland</w:t>
      </w:r>
      <w:r w:rsidRPr="003820B8">
        <w:rPr>
          <w:rFonts w:ascii="Times New Roman" w:eastAsia="Times New Roman" w:hAnsi="Times New Roman" w:cs="Times New Roman"/>
          <w:bCs/>
          <w:sz w:val="24"/>
          <w:szCs w:val="24"/>
        </w:rPr>
        <w:t xml:space="preserve"> hydrologic pathways at lake-lot scales vs larger tributary inputs</w:t>
      </w:r>
      <w:r w:rsidR="00E13E3B">
        <w:rPr>
          <w:rFonts w:ascii="Times New Roman" w:eastAsia="Times New Roman" w:hAnsi="Times New Roman" w:cs="Times New Roman"/>
          <w:bCs/>
          <w:sz w:val="24"/>
          <w:szCs w:val="24"/>
        </w:rPr>
        <w:t>, although stormflow validation will be required</w:t>
      </w:r>
      <w:r w:rsidRPr="003820B8">
        <w:rPr>
          <w:rFonts w:ascii="Times New Roman" w:eastAsia="Times New Roman" w:hAnsi="Times New Roman" w:cs="Times New Roman"/>
          <w:bCs/>
          <w:sz w:val="24"/>
          <w:szCs w:val="24"/>
        </w:rPr>
        <w:t>.</w:t>
      </w:r>
    </w:p>
    <w:p w14:paraId="6CB36AE4" w14:textId="6BC9202F" w:rsidR="003820B8" w:rsidRPr="003820B8" w:rsidRDefault="003820B8" w:rsidP="003820B8">
      <w:pPr>
        <w:pStyle w:val="ListParagraph"/>
        <w:numPr>
          <w:ilvl w:val="0"/>
          <w:numId w:val="1"/>
        </w:numPr>
        <w:rPr>
          <w:rFonts w:ascii="Times New Roman" w:eastAsia="Times New Roman" w:hAnsi="Times New Roman" w:cs="Times New Roman"/>
          <w:bCs/>
          <w:sz w:val="24"/>
          <w:szCs w:val="24"/>
        </w:rPr>
      </w:pPr>
      <w:r w:rsidRPr="003820B8">
        <w:rPr>
          <w:rFonts w:ascii="Times New Roman" w:eastAsia="Times New Roman" w:hAnsi="Times New Roman" w:cs="Times New Roman"/>
          <w:bCs/>
          <w:sz w:val="24"/>
          <w:szCs w:val="24"/>
        </w:rPr>
        <w:t xml:space="preserve">Individual </w:t>
      </w:r>
      <w:r>
        <w:rPr>
          <w:rFonts w:ascii="Times New Roman" w:eastAsia="Times New Roman" w:hAnsi="Times New Roman" w:cs="Times New Roman"/>
          <w:bCs/>
          <w:sz w:val="24"/>
          <w:szCs w:val="24"/>
        </w:rPr>
        <w:t xml:space="preserve">lake-lot </w:t>
      </w:r>
      <w:r w:rsidRPr="003820B8">
        <w:rPr>
          <w:rFonts w:ascii="Times New Roman" w:eastAsia="Times New Roman" w:hAnsi="Times New Roman" w:cs="Times New Roman"/>
          <w:bCs/>
          <w:sz w:val="24"/>
          <w:szCs w:val="24"/>
        </w:rPr>
        <w:t xml:space="preserve">land use management is </w:t>
      </w:r>
      <w:r w:rsidR="00434CD8">
        <w:rPr>
          <w:rFonts w:ascii="Times New Roman" w:eastAsia="Times New Roman" w:hAnsi="Times New Roman" w:cs="Times New Roman"/>
          <w:bCs/>
          <w:sz w:val="24"/>
          <w:szCs w:val="24"/>
        </w:rPr>
        <w:t xml:space="preserve">likely </w:t>
      </w:r>
      <w:r w:rsidRPr="003820B8">
        <w:rPr>
          <w:rFonts w:ascii="Times New Roman" w:eastAsia="Times New Roman" w:hAnsi="Times New Roman" w:cs="Times New Roman"/>
          <w:bCs/>
          <w:sz w:val="24"/>
          <w:szCs w:val="24"/>
        </w:rPr>
        <w:t xml:space="preserve">more important for the future water quality </w:t>
      </w:r>
      <w:r w:rsidR="00434CD8">
        <w:rPr>
          <w:rFonts w:ascii="Times New Roman" w:eastAsia="Times New Roman" w:hAnsi="Times New Roman" w:cs="Times New Roman"/>
          <w:bCs/>
          <w:sz w:val="24"/>
          <w:szCs w:val="24"/>
        </w:rPr>
        <w:t>of</w:t>
      </w:r>
      <w:r w:rsidRPr="003820B8">
        <w:rPr>
          <w:rFonts w:ascii="Times New Roman" w:eastAsia="Times New Roman" w:hAnsi="Times New Roman" w:cs="Times New Roman"/>
          <w:bCs/>
          <w:sz w:val="24"/>
          <w:szCs w:val="24"/>
        </w:rPr>
        <w:t xml:space="preserve"> both lakes</w:t>
      </w:r>
      <w:r w:rsidR="00E13E3B">
        <w:rPr>
          <w:rFonts w:ascii="Times New Roman" w:eastAsia="Times New Roman" w:hAnsi="Times New Roman" w:cs="Times New Roman"/>
          <w:bCs/>
          <w:sz w:val="24"/>
          <w:szCs w:val="24"/>
        </w:rPr>
        <w:t xml:space="preserve"> given future climate uncertainties.</w:t>
      </w:r>
    </w:p>
    <w:p w14:paraId="0D8A730F" w14:textId="77777777" w:rsidR="007422AC" w:rsidRPr="007422AC" w:rsidRDefault="007422AC">
      <w:pPr>
        <w:rPr>
          <w:rFonts w:ascii="Times New Roman" w:eastAsia="Times New Roman" w:hAnsi="Times New Roman" w:cs="Times New Roman"/>
          <w:bCs/>
          <w:sz w:val="24"/>
          <w:szCs w:val="24"/>
          <w:u w:val="single"/>
        </w:rPr>
      </w:pPr>
    </w:p>
    <w:p w14:paraId="3AFF92AF" w14:textId="7F12C131" w:rsidR="00670615" w:rsidRPr="003820B8" w:rsidRDefault="009974B4">
      <w:pPr>
        <w:rPr>
          <w:rFonts w:ascii="Times New Roman" w:eastAsia="Times New Roman" w:hAnsi="Times New Roman" w:cs="Times New Roman"/>
          <w:b/>
          <w:bCs/>
          <w:sz w:val="24"/>
          <w:szCs w:val="24"/>
        </w:rPr>
      </w:pPr>
      <w:r w:rsidRPr="003820B8">
        <w:rPr>
          <w:rFonts w:ascii="Times New Roman" w:eastAsia="Times New Roman" w:hAnsi="Times New Roman" w:cs="Times New Roman"/>
          <w:b/>
          <w:bCs/>
          <w:sz w:val="24"/>
          <w:szCs w:val="24"/>
        </w:rPr>
        <w:t>Introduction:</w:t>
      </w:r>
    </w:p>
    <w:p w14:paraId="14F606B4" w14:textId="147E5A2F" w:rsidR="00E840C5" w:rsidRDefault="009974B4" w:rsidP="006E2584">
      <w:pPr>
        <w:rPr>
          <w:rFonts w:ascii="Times New Roman" w:eastAsia="Times New Roman" w:hAnsi="Times New Roman" w:cs="Times New Roman"/>
          <w:sz w:val="24"/>
          <w:szCs w:val="24"/>
        </w:rPr>
      </w:pPr>
      <w:r>
        <w:rPr>
          <w:rFonts w:ascii="Times New Roman" w:eastAsia="Times New Roman" w:hAnsi="Times New Roman" w:cs="Times New Roman"/>
          <w:sz w:val="24"/>
          <w:szCs w:val="24"/>
        </w:rPr>
        <w:t>Pipe and North Pipe Lakes, located in the Town of Johnstown in Northwest Wisconsin, have a tremendous historical data collection ranging back to the early 1990s, most of which was synthesized by residential lake volunteers. Over the past few decades, through the work of the Pipe and North Pipe Lakes Rehabilitation and Protection District, many grants and studies have been awarded and conducted</w:t>
      </w:r>
      <w:r w:rsidR="00E53E1A">
        <w:rPr>
          <w:rFonts w:ascii="Times New Roman" w:eastAsia="Times New Roman" w:hAnsi="Times New Roman" w:cs="Times New Roman"/>
          <w:sz w:val="24"/>
          <w:szCs w:val="24"/>
        </w:rPr>
        <w:t xml:space="preserve"> to better understand algal dynamics and now climate change</w:t>
      </w:r>
      <w:r>
        <w:rPr>
          <w:rFonts w:ascii="Times New Roman" w:eastAsia="Times New Roman" w:hAnsi="Times New Roman" w:cs="Times New Roman"/>
          <w:sz w:val="24"/>
          <w:szCs w:val="24"/>
        </w:rPr>
        <w:t xml:space="preserve">. In 2018, the Pipe and North Pipe Lakes Lake Management Plan for 2018 to 2023 was prepared by the Polk County Land and Water Resources Department and funded by the Wisconsin Department of Natural Resources Lake Planning Grant and Pipe and North Pipe Lakes Protection and Rehabilitation District. The purpose of this study is to document findings from data collected between 2018 and 2021. Covid-19 restrictions hindered planned lab analysis and field data collection in 2020, but through the help of the </w:t>
      </w:r>
      <w:r w:rsidR="00E53E1A">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akes </w:t>
      </w:r>
      <w:r w:rsidR="00E53E1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istrict and volunteers, much of the routine data was still collected. </w:t>
      </w:r>
    </w:p>
    <w:p w14:paraId="79AB2487" w14:textId="6CEF115F" w:rsidR="00670615" w:rsidRPr="00E840C5" w:rsidRDefault="009974B4">
      <w:pPr>
        <w:rPr>
          <w:rFonts w:ascii="Times New Roman" w:hAnsi="Times New Roman" w:cs="Times New Roman"/>
          <w:sz w:val="24"/>
          <w:szCs w:val="24"/>
        </w:rPr>
      </w:pPr>
      <w:r>
        <w:rPr>
          <w:rFonts w:ascii="Times New Roman" w:eastAsia="Times New Roman" w:hAnsi="Times New Roman" w:cs="Times New Roman"/>
          <w:sz w:val="24"/>
          <w:szCs w:val="24"/>
        </w:rPr>
        <w:t xml:space="preserve">The report is organized to explain the isotope hydrology first, then look at precipitation and field indicators, along with lab data for chlorophyll </w:t>
      </w:r>
      <w:r w:rsidRPr="006E2584">
        <w:rPr>
          <w:rFonts w:ascii="Times New Roman" w:eastAsia="Times New Roman" w:hAnsi="Times New Roman" w:cs="Times New Roman"/>
          <w:i/>
          <w:iCs/>
          <w:sz w:val="24"/>
          <w:szCs w:val="24"/>
        </w:rPr>
        <w:t>a</w:t>
      </w:r>
      <w:r>
        <w:rPr>
          <w:rFonts w:ascii="Times New Roman" w:eastAsia="Times New Roman" w:hAnsi="Times New Roman" w:cs="Times New Roman"/>
          <w:sz w:val="24"/>
          <w:szCs w:val="24"/>
        </w:rPr>
        <w:t xml:space="preserve"> and total phosphorus. </w:t>
      </w:r>
      <w:r w:rsidR="006E2584">
        <w:rPr>
          <w:rFonts w:ascii="Times New Roman" w:hAnsi="Times New Roman" w:cs="Times New Roman"/>
          <w:sz w:val="24"/>
          <w:szCs w:val="24"/>
        </w:rPr>
        <w:t>Certain modules of the Wisconsin Lake Modeling Suite were utilized to compare results from the isotopic monitoring and analysis, modeling results were improved by the isotopic data.</w:t>
      </w:r>
      <w:r w:rsidR="00E840C5">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Lastly, we present infiltration and penetrometer data along with some recommendations for future action steps. </w:t>
      </w:r>
    </w:p>
    <w:p w14:paraId="632F4E74" w14:textId="77777777" w:rsidR="00434CD8" w:rsidRDefault="00434CD8">
      <w:pPr>
        <w:rPr>
          <w:rFonts w:ascii="Times New Roman" w:eastAsia="Times New Roman" w:hAnsi="Times New Roman" w:cs="Times New Roman"/>
          <w:b/>
          <w:bCs/>
          <w:sz w:val="24"/>
          <w:szCs w:val="24"/>
        </w:rPr>
      </w:pPr>
    </w:p>
    <w:p w14:paraId="221D32CA" w14:textId="2252F28A" w:rsidR="00670615" w:rsidRPr="003820B8" w:rsidRDefault="009974B4">
      <w:pPr>
        <w:rPr>
          <w:rFonts w:ascii="Times New Roman" w:eastAsia="Times New Roman" w:hAnsi="Times New Roman" w:cs="Times New Roman"/>
          <w:b/>
          <w:bCs/>
          <w:i/>
          <w:sz w:val="24"/>
          <w:szCs w:val="24"/>
        </w:rPr>
      </w:pPr>
      <w:r w:rsidRPr="003820B8">
        <w:rPr>
          <w:rFonts w:ascii="Times New Roman" w:eastAsia="Times New Roman" w:hAnsi="Times New Roman" w:cs="Times New Roman"/>
          <w:b/>
          <w:bCs/>
          <w:sz w:val="24"/>
          <w:szCs w:val="24"/>
        </w:rPr>
        <w:lastRenderedPageBreak/>
        <w:t>Data Collection Methods</w:t>
      </w:r>
      <w:r w:rsidRPr="003820B8">
        <w:rPr>
          <w:rFonts w:ascii="Times New Roman" w:eastAsia="Times New Roman" w:hAnsi="Times New Roman" w:cs="Times New Roman"/>
          <w:b/>
          <w:bCs/>
          <w:i/>
          <w:sz w:val="24"/>
          <w:szCs w:val="24"/>
        </w:rPr>
        <w:t>:</w:t>
      </w:r>
    </w:p>
    <w:p w14:paraId="553241CE" w14:textId="58607F7E" w:rsidR="00670615" w:rsidRPr="003820B8" w:rsidRDefault="009974B4">
      <w:pPr>
        <w:rPr>
          <w:rFonts w:ascii="Times New Roman" w:hAnsi="Times New Roman" w:cs="Times New Roman"/>
          <w:sz w:val="24"/>
          <w:szCs w:val="24"/>
        </w:rPr>
      </w:pPr>
      <w:r>
        <w:rPr>
          <w:rFonts w:ascii="Times New Roman" w:eastAsia="Times New Roman" w:hAnsi="Times New Roman" w:cs="Times New Roman"/>
          <w:sz w:val="24"/>
          <w:szCs w:val="24"/>
        </w:rPr>
        <w:t>Data collection occurred via grab samples into vials and bottles provided by the Water and Environmental Analysis Lab in Stevens Point WI. At the time of sample collection, typically a YSI multiparameter sonde was used to measure temperature, specific conductance, pH, and dissolved oxygen (DO). Vials were given to some residents to collect precipitation for isotope analysis. All vials were sent to the UMN lab where a Picarro L2130i was used to measure δ</w:t>
      </w: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 xml:space="preserve">O for oxygen, and δD for deuterium in units of ‰. Samples sent to the Water and Environmental Analysis Lab in Stevens Point WI, were analyzed for nutrients, including Ammonium, NO2 + NO3 as N, TKN, TP, soluble reactive phosphorus, CL, and conductivity. </w:t>
      </w:r>
      <w:r w:rsidR="00C7698D">
        <w:rPr>
          <w:rFonts w:ascii="Times New Roman" w:hAnsi="Times New Roman" w:cs="Times New Roman"/>
          <w:sz w:val="24"/>
          <w:szCs w:val="24"/>
        </w:rPr>
        <w:t>Field flow d</w:t>
      </w:r>
      <w:r w:rsidR="00383224">
        <w:rPr>
          <w:rFonts w:ascii="Times New Roman" w:hAnsi="Times New Roman" w:cs="Times New Roman"/>
          <w:sz w:val="24"/>
          <w:szCs w:val="24"/>
        </w:rPr>
        <w:t xml:space="preserve">ata gathered was analyzed and used to calibrate and run different </w:t>
      </w:r>
      <w:r w:rsidR="00C7698D">
        <w:rPr>
          <w:rFonts w:ascii="Times New Roman" w:hAnsi="Times New Roman" w:cs="Times New Roman"/>
          <w:sz w:val="24"/>
          <w:szCs w:val="24"/>
        </w:rPr>
        <w:t xml:space="preserve">lake </w:t>
      </w:r>
      <w:r w:rsidR="00383224">
        <w:rPr>
          <w:rFonts w:ascii="Times New Roman" w:hAnsi="Times New Roman" w:cs="Times New Roman"/>
          <w:sz w:val="24"/>
          <w:szCs w:val="24"/>
        </w:rPr>
        <w:t>modeling scenarios.</w:t>
      </w:r>
      <w:r w:rsidR="00C7698D">
        <w:rPr>
          <w:rFonts w:ascii="Times New Roman" w:hAnsi="Times New Roman" w:cs="Times New Roman"/>
          <w:sz w:val="24"/>
          <w:szCs w:val="24"/>
        </w:rPr>
        <w:t xml:space="preserve"> However,</w:t>
      </w:r>
      <w:r w:rsidR="00383224">
        <w:rPr>
          <w:rFonts w:ascii="Times New Roman" w:hAnsi="Times New Roman" w:cs="Times New Roman"/>
          <w:sz w:val="24"/>
          <w:szCs w:val="24"/>
        </w:rPr>
        <w:t xml:space="preserve"> tape down measurements and flow calculations did not fit within the modeling scenarios</w:t>
      </w:r>
      <w:r w:rsidR="00C7698D">
        <w:rPr>
          <w:rFonts w:ascii="Times New Roman" w:hAnsi="Times New Roman" w:cs="Times New Roman"/>
          <w:sz w:val="24"/>
          <w:szCs w:val="24"/>
        </w:rPr>
        <w:t xml:space="preserve"> suggesting the specific channels measured did not account for hydrologic lake response</w:t>
      </w:r>
      <w:r w:rsidR="00121B99">
        <w:rPr>
          <w:rFonts w:ascii="Times New Roman" w:hAnsi="Times New Roman" w:cs="Times New Roman"/>
          <w:sz w:val="24"/>
          <w:szCs w:val="24"/>
        </w:rPr>
        <w:t xml:space="preserve">. </w:t>
      </w:r>
      <w:r w:rsidR="00383224">
        <w:rPr>
          <w:rFonts w:ascii="Times New Roman" w:hAnsi="Times New Roman" w:cs="Times New Roman"/>
          <w:sz w:val="24"/>
          <w:szCs w:val="24"/>
        </w:rPr>
        <w:t>Additionally</w:t>
      </w:r>
      <w:r w:rsidR="00C7698D">
        <w:rPr>
          <w:rFonts w:ascii="Times New Roman" w:hAnsi="Times New Roman" w:cs="Times New Roman"/>
          <w:sz w:val="24"/>
          <w:szCs w:val="24"/>
        </w:rPr>
        <w:t>,</w:t>
      </w:r>
      <w:r w:rsidR="00383224">
        <w:rPr>
          <w:rFonts w:ascii="Times New Roman" w:hAnsi="Times New Roman" w:cs="Times New Roman"/>
          <w:sz w:val="24"/>
          <w:szCs w:val="24"/>
        </w:rPr>
        <w:t xml:space="preserve"> HOBO </w:t>
      </w:r>
      <w:r w:rsidR="00C7698D">
        <w:rPr>
          <w:rFonts w:ascii="Times New Roman" w:hAnsi="Times New Roman" w:cs="Times New Roman"/>
          <w:sz w:val="24"/>
          <w:szCs w:val="24"/>
        </w:rPr>
        <w:t xml:space="preserve">pressure transducer </w:t>
      </w:r>
      <w:r w:rsidR="00383224">
        <w:rPr>
          <w:rFonts w:ascii="Times New Roman" w:hAnsi="Times New Roman" w:cs="Times New Roman"/>
          <w:sz w:val="24"/>
          <w:szCs w:val="24"/>
        </w:rPr>
        <w:t xml:space="preserve">test well data supports </w:t>
      </w:r>
      <w:r w:rsidR="00C7698D">
        <w:rPr>
          <w:rFonts w:ascii="Times New Roman" w:hAnsi="Times New Roman" w:cs="Times New Roman"/>
          <w:sz w:val="24"/>
          <w:szCs w:val="24"/>
        </w:rPr>
        <w:t>did not fit the model</w:t>
      </w:r>
      <w:r w:rsidR="00383224">
        <w:rPr>
          <w:rFonts w:ascii="Times New Roman" w:hAnsi="Times New Roman" w:cs="Times New Roman"/>
          <w:sz w:val="24"/>
          <w:szCs w:val="24"/>
        </w:rPr>
        <w:t>.</w:t>
      </w:r>
      <w:r w:rsidR="00B12647">
        <w:rPr>
          <w:rFonts w:ascii="Times New Roman" w:hAnsi="Times New Roman" w:cs="Times New Roman"/>
          <w:sz w:val="24"/>
          <w:szCs w:val="24"/>
        </w:rPr>
        <w:t xml:space="preserve"> This will be addressed in the recommendations section</w:t>
      </w:r>
      <w:r w:rsidR="00121B99">
        <w:rPr>
          <w:rFonts w:ascii="Times New Roman" w:hAnsi="Times New Roman" w:cs="Times New Roman"/>
          <w:sz w:val="24"/>
          <w:szCs w:val="24"/>
        </w:rPr>
        <w:t>.</w:t>
      </w:r>
    </w:p>
    <w:p w14:paraId="04134E30" w14:textId="77777777" w:rsidR="00670615" w:rsidRDefault="009974B4">
      <w:pPr>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Stable isotopes of hydrogen and oxygen: how does this work? </w:t>
      </w:r>
    </w:p>
    <w:p w14:paraId="73AB2C73"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Isotope data is not presented as a concentration or a % of water that can be directly measured in the field or typical inductive plasm or gas chromatograph mass spectrometry. Instead, we are measuring the ratio of the “heavy” or “enriched” (this is an extra neutron) to the “light” or “depleted” (typically 99.9% of most water) isotopes, the data is expressed as delta (or </w:t>
      </w:r>
      <w:r>
        <w:rPr>
          <w:rFonts w:ascii="Times New Roman" w:eastAsia="Times New Roman" w:hAnsi="Times New Roman" w:cs="Times New Roman"/>
          <w:b/>
          <w:sz w:val="24"/>
          <w:szCs w:val="24"/>
        </w:rPr>
        <w:t>δ</w:t>
      </w:r>
      <w:r>
        <w:rPr>
          <w:rFonts w:ascii="Times New Roman" w:eastAsia="Times New Roman" w:hAnsi="Times New Roman" w:cs="Times New Roman"/>
          <w:b/>
          <w:sz w:val="24"/>
          <w:szCs w:val="24"/>
          <w:vertAlign w:val="superscript"/>
        </w:rPr>
        <w:t>18</w:t>
      </w:r>
      <w:r>
        <w:rPr>
          <w:rFonts w:ascii="Times New Roman" w:eastAsia="Times New Roman" w:hAnsi="Times New Roman" w:cs="Times New Roman"/>
          <w:b/>
          <w:sz w:val="24"/>
          <w:szCs w:val="24"/>
        </w:rPr>
        <w:t>O</w:t>
      </w:r>
      <w:r>
        <w:rPr>
          <w:rFonts w:ascii="Times New Roman" w:eastAsia="Times New Roman" w:hAnsi="Times New Roman" w:cs="Times New Roman"/>
          <w:sz w:val="24"/>
          <w:szCs w:val="24"/>
        </w:rPr>
        <w:t xml:space="preserve"> for oxygen, and </w:t>
      </w:r>
      <w:r>
        <w:rPr>
          <w:rFonts w:ascii="Times New Roman" w:eastAsia="Times New Roman" w:hAnsi="Times New Roman" w:cs="Times New Roman"/>
          <w:b/>
          <w:sz w:val="24"/>
          <w:szCs w:val="24"/>
        </w:rPr>
        <w:t>δD</w:t>
      </w:r>
      <w:r>
        <w:rPr>
          <w:rFonts w:ascii="Times New Roman" w:eastAsia="Times New Roman" w:hAnsi="Times New Roman" w:cs="Times New Roman"/>
          <w:sz w:val="24"/>
          <w:szCs w:val="24"/>
        </w:rPr>
        <w:t xml:space="preserve"> for deuterium) in units of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or per mil, not percent. The values are plotted against each other to express a water identity. </w:t>
      </w:r>
    </w:p>
    <w:p w14:paraId="08D52DA5" w14:textId="4DDFA879"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Unless the water was collected near the equator, values tend to be negative. The </w:t>
      </w:r>
      <w:r>
        <w:rPr>
          <w:rFonts w:ascii="Times New Roman" w:eastAsia="Times New Roman" w:hAnsi="Times New Roman" w:cs="Times New Roman"/>
          <w:i/>
          <w:sz w:val="24"/>
          <w:szCs w:val="24"/>
        </w:rPr>
        <w:t>Black Line</w:t>
      </w:r>
      <w:r>
        <w:rPr>
          <w:rFonts w:ascii="Times New Roman" w:eastAsia="Times New Roman" w:hAnsi="Times New Roman" w:cs="Times New Roman"/>
          <w:sz w:val="24"/>
          <w:szCs w:val="24"/>
        </w:rPr>
        <w:t xml:space="preserve"> (Figure </w:t>
      </w:r>
      <w:r w:rsidR="007F59CD">
        <w:rPr>
          <w:rFonts w:ascii="Times New Roman" w:eastAsia="Times New Roman" w:hAnsi="Times New Roman" w:cs="Times New Roman"/>
          <w:sz w:val="24"/>
          <w:szCs w:val="24"/>
        </w:rPr>
        <w:t>2</w:t>
      </w:r>
      <w:r>
        <w:rPr>
          <w:rFonts w:ascii="Times New Roman" w:eastAsia="Times New Roman" w:hAnsi="Times New Roman" w:cs="Times New Roman"/>
          <w:sz w:val="24"/>
          <w:szCs w:val="24"/>
        </w:rPr>
        <w:t>) expressed as a slope where y = 8x + 10 is known as the Global Meteoric Water Line (MWL). All precipitation in the world falls somewhere on this line depending on location. Exceptionally light or depleted values are near the north or south poles or high mountain peaks where temperature is cool to cold, whereas heavy or more enriched water with extra neutrons, tends to be found in the warmest places on earth. Temperature drives the presence or absence of neutron enriched precipitation. The MWL is based on differences in temperature over the planet. Near the equator and sea level the warmest temperatures occur giving rise to the most enriched water which can then move as a cloud over land masses. Because Wisconsin is located between the Arctic and Equator, we can observe unique combinations of isotopic water.</w:t>
      </w:r>
    </w:p>
    <w:p w14:paraId="7544BBC6"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location of a water sample with respect to the MWL tells a story about hydrologic pathway and process. In the Pipe and North Pipe Lake watershed we can define differences in season, winter vs summer and the cloud bank, Arctic air vs Gulf air. These differences occur more at the extremes, and we refer to them as “End Member” vs “mixed” water that reflects varying combinations of light and heavy water. </w:t>
      </w:r>
    </w:p>
    <w:p w14:paraId="68E49AE8"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Another unique water signature can be derived by surface water that evaporates. The heavy hydrogen evaporates slightly faster than the heavy oxygen and creates data which plots to the right of the MWL on a flatter slope pointing to evaporative surface water as a unique fingerprint that guides hydrologic interpretation. This process is known as fractionation.</w:t>
      </w:r>
    </w:p>
    <w:p w14:paraId="2517996A" w14:textId="7777777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Source Waters, Storage, Runoff in The Pipe and North Pike Lake Watershed.</w:t>
      </w:r>
    </w:p>
    <w:p w14:paraId="66F7E2A7" w14:textId="6E7CF5DC" w:rsidR="00670615" w:rsidRPr="00434CD8"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snow (depleted values) is stored on top of the soil, in late March or April when the soil thaws snow melts into the soil and recharges groundwater. However, if the temperatures rise quickly, particularly the night temperatures, then the snow will melt and runoff over frozen ground. In 2021, we captured pre- and post-melt water running into both Pipe and North Pipe Lakes. The spring thaw/melt should be considered a lower magnitude, longer duration event; any precipitation intensity is attenuated </w:t>
      </w:r>
      <w:r w:rsidR="00DC1EAD">
        <w:rPr>
          <w:rFonts w:ascii="Times New Roman" w:eastAsia="Times New Roman" w:hAnsi="Times New Roman" w:cs="Times New Roman"/>
          <w:sz w:val="24"/>
          <w:szCs w:val="24"/>
        </w:rPr>
        <w:t xml:space="preserve">(or buffered) </w:t>
      </w:r>
      <w:r>
        <w:rPr>
          <w:rFonts w:ascii="Times New Roman" w:eastAsia="Times New Roman" w:hAnsi="Times New Roman" w:cs="Times New Roman"/>
          <w:sz w:val="24"/>
          <w:szCs w:val="24"/>
        </w:rPr>
        <w:t>compared to summer rain because the particle size is soft and small. In northern forests the soil thaw/melt is often the largest flow event of a normal precipitation year. As branches bud-out and leave formation occurs transpiration begins to move water from the soil-water zone through the roots and up the trunk and out the stomata of leaves. Summer rain (enriched with heavy isotopes) is captured by tree canopy, and the upper soil profile with little to no groundwater recharge or overland runoff</w:t>
      </w:r>
      <w:r w:rsidR="00DC1EAD">
        <w:rPr>
          <w:rFonts w:ascii="Times New Roman" w:eastAsia="Times New Roman" w:hAnsi="Times New Roman" w:cs="Times New Roman"/>
          <w:sz w:val="24"/>
          <w:szCs w:val="24"/>
        </w:rPr>
        <w:t xml:space="preserve"> unless the soil has limited infiltration capacity</w:t>
      </w:r>
      <w:r>
        <w:rPr>
          <w:rFonts w:ascii="Times New Roman" w:eastAsia="Times New Roman" w:hAnsi="Times New Roman" w:cs="Times New Roman"/>
          <w:sz w:val="24"/>
          <w:szCs w:val="24"/>
        </w:rPr>
        <w:t xml:space="preserve">. Streams can flow in a forested watershed through a rise in the shallow water table in a concave landscape or what is known as “Variable Source Area” (VSA) Figure </w:t>
      </w:r>
      <w:r w:rsidR="007F59C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p w14:paraId="4EBF1D59" w14:textId="77777777" w:rsidR="00670615" w:rsidRDefault="009974B4">
      <w:pPr>
        <w:rPr>
          <w:rFonts w:ascii="Times New Roman" w:eastAsia="Times New Roman" w:hAnsi="Times New Roman" w:cs="Times New Roman"/>
          <w:sz w:val="24"/>
          <w:szCs w:val="24"/>
        </w:rPr>
      </w:pPr>
      <w:r>
        <w:rPr>
          <w:noProof/>
        </w:rPr>
        <w:drawing>
          <wp:inline distT="0" distB="0" distL="0" distR="0" wp14:anchorId="6A80B31D" wp14:editId="666441D7">
            <wp:extent cx="5943600" cy="4457700"/>
            <wp:effectExtent l="0" t="0" r="0" b="0"/>
            <wp:docPr id="42" name="image1.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Diagram&#10;&#10;Description automatically generated"/>
                    <pic:cNvPicPr preferRelativeResize="0"/>
                  </pic:nvPicPr>
                  <pic:blipFill>
                    <a:blip r:embed="rId6"/>
                    <a:srcRect/>
                    <a:stretch>
                      <a:fillRect/>
                    </a:stretch>
                  </pic:blipFill>
                  <pic:spPr>
                    <a:xfrm>
                      <a:off x="0" y="0"/>
                      <a:ext cx="5943600" cy="4457700"/>
                    </a:xfrm>
                    <a:prstGeom prst="rect">
                      <a:avLst/>
                    </a:prstGeom>
                    <a:ln/>
                  </pic:spPr>
                </pic:pic>
              </a:graphicData>
            </a:graphic>
          </wp:inline>
        </w:drawing>
      </w:r>
    </w:p>
    <w:p w14:paraId="14D5C2C4" w14:textId="42F035E6"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w:t>
      </w:r>
      <w:r w:rsidR="007F59CD">
        <w:rPr>
          <w:rFonts w:ascii="Times New Roman" w:eastAsia="Times New Roman" w:hAnsi="Times New Roman" w:cs="Times New Roman"/>
          <w:i/>
          <w:sz w:val="24"/>
          <w:szCs w:val="24"/>
        </w:rPr>
        <w:t>1</w:t>
      </w:r>
      <w:r>
        <w:rPr>
          <w:rFonts w:ascii="Times New Roman" w:eastAsia="Times New Roman" w:hAnsi="Times New Roman" w:cs="Times New Roman"/>
          <w:i/>
          <w:sz w:val="24"/>
          <w:szCs w:val="24"/>
        </w:rPr>
        <w:t xml:space="preserve">. Illustrates VSA concept. A small watershed showing high elevation to low elevation. The dark black area is the surface expression of the water table year-round, and the gray colored areas show the expansion of surface water expression after precipitation input and when evapotranspiration halts. </w:t>
      </w:r>
    </w:p>
    <w:p w14:paraId="679D8E1A"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Intense, short duration summer storm events can produce overland runoff because the delivery rate is faster than water can infiltrate the soil. We measured infiltration and relative bulk density using a dynamic cone penetrometer at several locations and determined that many soil types surrounding the two lakes have a soil texture, structure and bulk density that is more prone to overland runoff because of the most recent glacial activity in Polk County, WI. This will be discussed in more detail later.</w:t>
      </w:r>
    </w:p>
    <w:p w14:paraId="22615E6D"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Lakes and wetlands store water in the watershed; however, the fingerprint they exert differs based vegetation and hydraulic residence. Lakes store water over a longer period of time and because of the open water column, evaporation is the dominant means of water export followed by outlet flow. Wetlands typically have a shorter hydraulic residence because water is transpired by plants during the growing season, and more commonly spills over a sill at the outlet and flows toward Pipe or North Pipe Lakes.</w:t>
      </w:r>
    </w:p>
    <w:p w14:paraId="0C70536B" w14:textId="4BD47720" w:rsidR="00670615" w:rsidRPr="003820B8" w:rsidRDefault="00434CD8">
      <w:pP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 xml:space="preserve">Isotope </w:t>
      </w:r>
      <w:r w:rsidR="009974B4" w:rsidRPr="003820B8">
        <w:rPr>
          <w:rFonts w:ascii="Times New Roman" w:eastAsia="Times New Roman" w:hAnsi="Times New Roman" w:cs="Times New Roman"/>
          <w:b/>
          <w:bCs/>
          <w:iCs/>
          <w:sz w:val="24"/>
          <w:szCs w:val="24"/>
        </w:rPr>
        <w:t>Study Results:</w:t>
      </w:r>
    </w:p>
    <w:p w14:paraId="4C3CDEDA" w14:textId="7777777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Time Series Story:</w:t>
      </w:r>
    </w:p>
    <w:p w14:paraId="563E26C3" w14:textId="6E9E8199"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in Figure </w:t>
      </w:r>
      <w:r w:rsidR="00330B9B">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tell us the steepest isotope slopes occurred in 2019, (5.5 -to- 7) for North Pipe and Pipe Lakes. Further the data points are spread out indicating that new water additions were shifting the lake water isotopic signature with new seasonal inputs - limiting hydraulic residence compared to drier conditions. The Pipe Lake data are more enriched and plot further to the right than North Pipe Lake. This means there is more source water mixing with new incoming water in North Pipe Lake compared to Pipe Lake. Given that 2019 was clearly a wetter precipitation year, both direct precipitation and VSA water exerted considerable influence upon North Pipe Lake. The VSA water from snowmelt and spring rains moved through the soil into North Pipe Lake in a matter of weeks, some water was then retained in small wetlands. Water entering the SedPond had a hydraulic residence time (HRT) of 2-3 weeks in the spring and ~ 90 days during the summer or evapotranspiration period. This to say that </w:t>
      </w:r>
      <w:r w:rsidR="00917F7D">
        <w:rPr>
          <w:rFonts w:ascii="Times New Roman" w:eastAsia="Times New Roman" w:hAnsi="Times New Roman" w:cs="Times New Roman"/>
          <w:sz w:val="24"/>
          <w:szCs w:val="24"/>
        </w:rPr>
        <w:t xml:space="preserve">measured surface </w:t>
      </w:r>
      <w:r>
        <w:rPr>
          <w:rFonts w:ascii="Times New Roman" w:eastAsia="Times New Roman" w:hAnsi="Times New Roman" w:cs="Times New Roman"/>
          <w:sz w:val="24"/>
          <w:szCs w:val="24"/>
        </w:rPr>
        <w:t xml:space="preserve">watershed runoff from tributaries into both lakes </w:t>
      </w:r>
      <w:r w:rsidR="00917F7D">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 tiny</w:t>
      </w:r>
      <w:r w:rsidR="00917F7D">
        <w:rPr>
          <w:rFonts w:ascii="Times New Roman" w:eastAsia="Times New Roman" w:hAnsi="Times New Roman" w:cs="Times New Roman"/>
          <w:sz w:val="24"/>
          <w:szCs w:val="24"/>
        </w:rPr>
        <w:t xml:space="preserve"> or small</w:t>
      </w:r>
      <w:r>
        <w:rPr>
          <w:rFonts w:ascii="Times New Roman" w:eastAsia="Times New Roman" w:hAnsi="Times New Roman" w:cs="Times New Roman"/>
          <w:sz w:val="24"/>
          <w:szCs w:val="24"/>
        </w:rPr>
        <w:t xml:space="preserve"> part of the overall budget.</w:t>
      </w:r>
      <w:r w:rsidR="004C50CB">
        <w:rPr>
          <w:rFonts w:ascii="Times New Roman" w:eastAsia="Times New Roman" w:hAnsi="Times New Roman" w:cs="Times New Roman"/>
          <w:sz w:val="24"/>
          <w:szCs w:val="24"/>
        </w:rPr>
        <w:t xml:space="preserve"> VSA input is larger than measured surface flow, but this requires more quantification during a normal to wet climatic year (see recommendations).</w:t>
      </w:r>
    </w:p>
    <w:p w14:paraId="3B819B6E" w14:textId="2E6BD389" w:rsidR="00434CD8" w:rsidRDefault="00434CD8" w:rsidP="00434CD8">
      <w:pPr>
        <w:rPr>
          <w:rFonts w:ascii="Times New Roman" w:eastAsia="Times New Roman" w:hAnsi="Times New Roman" w:cs="Times New Roman"/>
          <w:sz w:val="24"/>
          <w:szCs w:val="24"/>
        </w:rPr>
      </w:pPr>
      <w:r>
        <w:rPr>
          <w:rFonts w:ascii="Times New Roman" w:eastAsia="Times New Roman" w:hAnsi="Times New Roman" w:cs="Times New Roman"/>
          <w:sz w:val="24"/>
          <w:szCs w:val="24"/>
        </w:rPr>
        <w:t>Pipe Lake showed more of an evaporative dynamic compared to North Pipe Lake given fewer tributary inputs. The watershed surrounding Pipe Lake is exceedingly small and has less influence compared to the watershed feeding North Pipe Lake. These differences are reflected in the 2019 HRT estimates; North Pipe Lake ranged from 1- to 2- years, whereas Pipe Lake ranged from 2- to 4- years. This Pipe Lake dynamic is evident when examining shifts in the intercept for 2019 (-17)</w:t>
      </w:r>
      <w:r w:rsidR="004C50C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(-36) for 2020 and then back to (-23) in 2021. The intercept shifts in North Pipe Lake are less pronounced; 2019 (-23)</w:t>
      </w:r>
      <w:r w:rsidR="00A0225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(-28) in 2020 and then back to (-23) in 2021. This tells us that North Pipe Lake is likely buffered by non-measured </w:t>
      </w:r>
      <w:r w:rsidR="00A0225E">
        <w:rPr>
          <w:rFonts w:ascii="Times New Roman" w:eastAsia="Times New Roman" w:hAnsi="Times New Roman" w:cs="Times New Roman"/>
          <w:sz w:val="24"/>
          <w:szCs w:val="24"/>
        </w:rPr>
        <w:t xml:space="preserve">surface runoff or </w:t>
      </w:r>
      <w:r>
        <w:rPr>
          <w:rFonts w:ascii="Times New Roman" w:eastAsia="Times New Roman" w:hAnsi="Times New Roman" w:cs="Times New Roman"/>
          <w:sz w:val="24"/>
          <w:szCs w:val="24"/>
        </w:rPr>
        <w:t xml:space="preserve">VSA and </w:t>
      </w:r>
      <w:r w:rsidR="00A0225E">
        <w:rPr>
          <w:rFonts w:ascii="Times New Roman" w:eastAsia="Times New Roman" w:hAnsi="Times New Roman" w:cs="Times New Roman"/>
          <w:sz w:val="24"/>
          <w:szCs w:val="24"/>
        </w:rPr>
        <w:t xml:space="preserve">concordant </w:t>
      </w:r>
      <w:r>
        <w:rPr>
          <w:rFonts w:ascii="Times New Roman" w:eastAsia="Times New Roman" w:hAnsi="Times New Roman" w:cs="Times New Roman"/>
          <w:sz w:val="24"/>
          <w:szCs w:val="24"/>
        </w:rPr>
        <w:t xml:space="preserve">groundwater connectivity. </w:t>
      </w:r>
    </w:p>
    <w:p w14:paraId="2961F151" w14:textId="77DF3732" w:rsidR="00670615" w:rsidRDefault="006A1F0A">
      <w:pPr>
        <w:rPr>
          <w:rFonts w:ascii="Times New Roman" w:eastAsia="Times New Roman" w:hAnsi="Times New Roman" w:cs="Times New Roman"/>
          <w:sz w:val="24"/>
          <w:szCs w:val="24"/>
        </w:rPr>
      </w:pPr>
      <w:r>
        <w:rPr>
          <w:rFonts w:ascii="Times New Roman" w:eastAsia="Times New Roman" w:hAnsi="Times New Roman" w:cs="Times New Roman"/>
          <w:sz w:val="24"/>
          <w:szCs w:val="24"/>
        </w:rPr>
        <w:t>Temperature probing (data in appendix) in 2020 provided some evidence of groundwater along the east side on North Pipe Lake. This was confirmed by differences in the 2021 surface isotope values for North Pipe Lake, where: surface δ</w:t>
      </w: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O/ δD (-5.5/-50) compared to the deep hole or Z-max values observed, [δ</w:t>
      </w: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O/ δD (-7.2/-57)] was observed on July 14</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2021. These differences did not occur in the surface/deep hole Pipe Lake samples confirming the lack of near shore or at depth groundwater discharge. The deep hole sample collected in North Pipe Lake showed a mixed position between fractionated water and the middle of the VSA cluster of data shown in Figure 3.</w:t>
      </w:r>
    </w:p>
    <w:p w14:paraId="2D73682D" w14:textId="77777777" w:rsidR="00670615" w:rsidRDefault="009974B4">
      <w:r>
        <w:rPr>
          <w:noProof/>
        </w:rPr>
        <w:drawing>
          <wp:inline distT="0" distB="0" distL="0" distR="0" wp14:anchorId="2F3EBAEF" wp14:editId="149636E6">
            <wp:extent cx="5943600" cy="43180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F703F38" w14:textId="6D6BD059"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Figure </w:t>
      </w:r>
      <w:r w:rsidR="007F59CD">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 Shows the MWL in black dashed line as discussed above, isotope data points collected from the Pipe and North Pipe Lakes, and trendlines that sort differences between years and lakes</w:t>
      </w:r>
      <w:r>
        <w:t>.</w:t>
      </w:r>
      <w:r>
        <w:rPr>
          <w:rFonts w:ascii="Times New Roman" w:eastAsia="Times New Roman" w:hAnsi="Times New Roman" w:cs="Times New Roman"/>
          <w:sz w:val="24"/>
          <w:szCs w:val="24"/>
        </w:rPr>
        <w:t xml:space="preserve"> </w:t>
      </w:r>
    </w:p>
    <w:p w14:paraId="0A20BBF9" w14:textId="36E5A4CD" w:rsidR="006A1F0A" w:rsidRDefault="006A1F0A" w:rsidP="006A1F0A">
      <w:pPr>
        <w:rPr>
          <w:rFonts w:ascii="Times New Roman" w:eastAsia="Times New Roman" w:hAnsi="Times New Roman" w:cs="Times New Roman"/>
          <w:sz w:val="24"/>
          <w:szCs w:val="24"/>
        </w:rPr>
      </w:pPr>
      <w:r>
        <w:rPr>
          <w:rFonts w:ascii="Times New Roman" w:eastAsia="Times New Roman" w:hAnsi="Times New Roman" w:cs="Times New Roman"/>
          <w:sz w:val="24"/>
          <w:szCs w:val="24"/>
        </w:rPr>
        <w:t>In 2020, isotope slopes flatten out from 2019 (2 -to- 4) with intercepts at (-36) for Pipe and (-28) for North Pipe. What is interesting is the data points begin to cluster more tightly together in North Pipe Lake compared to 2019 indicating that new inputs were minor and not strong enough to see similar dynamic seasonal movement that occurred in 2019. Year 2020 did not begin as a drought year, but it was not as wet as 2019, the summer was drier and then slid into a more clearly visible drought by 2021. This was particularly true for North Pipe Lake where the data clustered tightly around the δ</w:t>
      </w: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 xml:space="preserve">O/ δD (-7.5/-51). This tells us that </w:t>
      </w:r>
      <w:r w:rsidR="00D06A29">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runoff into North Pipe Lake shut down after the soil thaw/melt. But going into 2021, VSA runoff and direct precipitation coupled with higher evaporation shifted the data to the upper right in Figure 3. This makes sense because during much of the summer of 2021 there was a drought, and when it rained, the water was very enriched providing a unique isotopic addition reflected in the lake water mix. </w:t>
      </w:r>
    </w:p>
    <w:p w14:paraId="5C24C830" w14:textId="77777777" w:rsidR="006A1F0A" w:rsidRDefault="006A1F0A"/>
    <w:p w14:paraId="3AEAC352" w14:textId="77777777" w:rsidR="00670615" w:rsidRDefault="009974B4">
      <w:pPr>
        <w:rPr>
          <w:rFonts w:ascii="Times New Roman" w:eastAsia="Times New Roman" w:hAnsi="Times New Roman" w:cs="Times New Roman"/>
          <w:sz w:val="24"/>
          <w:szCs w:val="24"/>
        </w:rPr>
      </w:pPr>
      <w:r>
        <w:rPr>
          <w:noProof/>
        </w:rPr>
        <w:drawing>
          <wp:inline distT="0" distB="0" distL="0" distR="0" wp14:anchorId="61C4C163" wp14:editId="543BD6C5">
            <wp:extent cx="5943600" cy="43180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53FB87" w14:textId="7777777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3. Similar to Figure 1 - but includes watershed isotope data points from varying North Pipe Lake tributaries and the SedPond. </w:t>
      </w:r>
    </w:p>
    <w:p w14:paraId="593928F9" w14:textId="22F023C4"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sz w:val="24"/>
          <w:szCs w:val="24"/>
        </w:rPr>
        <w:t>The HRT calculations reflect this shift, with little to no input</w:t>
      </w:r>
      <w:r w:rsidR="00D06A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North Pipe Lake estimates jumped to 7-to 12-years which the model produces when the lake isotope values cluster with time, these estimates drop back down again when new water is added to the lake. The Pipe Lake HRT ranged from 8.8- to 9-years, note this range is tighter than North Pipe Lake because of the larger lake size and buffering capacity of Pipe Lake. </w:t>
      </w:r>
    </w:p>
    <w:p w14:paraId="00E5AB2F"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2021 was a drought year, the data plotted off the MWL on an evaporative line that was similar for both lakes. Nevertheless, in Pipe Lake the values barely moved from 2020 into 2021 and clustered tightly together. This suggests neither direct precipitation nor runoff was significant enough to change the Pipe Lake fingerprint. Based on empirical observation, Pipe Lake levels dropped in 2021 about a half-meter which was reflective of large evaporative losses. </w:t>
      </w:r>
    </w:p>
    <w:p w14:paraId="35625AEF" w14:textId="18BA3CE8"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In contrast to Pipe Lake data, North Pipe Lake (Figure 3) did cluster but at a more depleted location on Figure 3 - reflective of the background VSA water but not the deeper well groundwater</w:t>
      </w:r>
      <w:r w:rsidR="00995673">
        <w:rPr>
          <w:rFonts w:ascii="Times New Roman" w:eastAsia="Times New Roman" w:hAnsi="Times New Roman" w:cs="Times New Roman"/>
          <w:sz w:val="24"/>
          <w:szCs w:val="24"/>
        </w:rPr>
        <w:t xml:space="preserve"> which is more influenced by cold water recharge</w:t>
      </w:r>
      <w:r>
        <w:rPr>
          <w:rFonts w:ascii="Times New Roman" w:eastAsia="Times New Roman" w:hAnsi="Times New Roman" w:cs="Times New Roman"/>
          <w:sz w:val="24"/>
          <w:szCs w:val="24"/>
        </w:rPr>
        <w:t xml:space="preserve">. The circled area in Figure 3 showed how VSA water plotted on the MWL, whereas the SedPond data plotted off the MWL to the right indicating fractionation except during the March 2020 sampling. The SedPond data over time shifted from very enriched in August 2019 to very depleted in March 2020, and then back to middle values in May 2021. This tells us that water was flushed through the SedPond in days. Rain did occur later in 2021 and when accounting for the later rainfall input the overall average HRT for North Pipe Lake appeared to be ~ 2 years and about 4.5 years for Pipe Lake. </w:t>
      </w:r>
    </w:p>
    <w:p w14:paraId="19475F52" w14:textId="400FAFE1" w:rsidR="00670615" w:rsidRPr="009974B4" w:rsidRDefault="009974B4">
      <w:pPr>
        <w:rPr>
          <w:rFonts w:ascii="Times New Roman" w:eastAsia="Times New Roman" w:hAnsi="Times New Roman" w:cs="Times New Roman"/>
          <w:b/>
          <w:bCs/>
          <w:sz w:val="24"/>
          <w:szCs w:val="24"/>
        </w:rPr>
      </w:pPr>
      <w:r w:rsidRPr="009974B4">
        <w:rPr>
          <w:rFonts w:ascii="Times New Roman" w:eastAsia="Times New Roman" w:hAnsi="Times New Roman" w:cs="Times New Roman"/>
          <w:b/>
          <w:bCs/>
          <w:sz w:val="24"/>
          <w:szCs w:val="24"/>
        </w:rPr>
        <w:t xml:space="preserve">A review of historic data and current conditions for Precipitation, Secchi, Chlorophyll </w:t>
      </w:r>
      <w:r w:rsidRPr="009974B4">
        <w:rPr>
          <w:rFonts w:ascii="Times New Roman" w:eastAsia="Times New Roman" w:hAnsi="Times New Roman" w:cs="Times New Roman"/>
          <w:b/>
          <w:bCs/>
          <w:i/>
          <w:iCs/>
          <w:sz w:val="24"/>
          <w:szCs w:val="24"/>
        </w:rPr>
        <w:t>a</w:t>
      </w:r>
      <w:r w:rsidRPr="009974B4">
        <w:rPr>
          <w:rFonts w:ascii="Times New Roman" w:eastAsia="Times New Roman" w:hAnsi="Times New Roman" w:cs="Times New Roman"/>
          <w:b/>
          <w:bCs/>
          <w:sz w:val="24"/>
          <w:szCs w:val="24"/>
        </w:rPr>
        <w:t>, Total Phosphorus, and Dissolved Oxygen</w:t>
      </w:r>
    </w:p>
    <w:p w14:paraId="622094DE" w14:textId="77777777" w:rsidR="00670615" w:rsidRPr="009974B4" w:rsidRDefault="009974B4">
      <w:pPr>
        <w:rPr>
          <w:rFonts w:ascii="Times New Roman" w:eastAsia="Times New Roman" w:hAnsi="Times New Roman" w:cs="Times New Roman"/>
          <w:bCs/>
          <w:i/>
          <w:iCs/>
          <w:sz w:val="24"/>
          <w:szCs w:val="24"/>
        </w:rPr>
      </w:pPr>
      <w:r w:rsidRPr="009974B4">
        <w:rPr>
          <w:rFonts w:ascii="Times New Roman" w:eastAsia="Times New Roman" w:hAnsi="Times New Roman" w:cs="Times New Roman"/>
          <w:bCs/>
          <w:i/>
          <w:iCs/>
          <w:sz w:val="24"/>
          <w:szCs w:val="24"/>
        </w:rPr>
        <w:t>Lake Level and Precipitation Monitoring Since 2018</w:t>
      </w:r>
    </w:p>
    <w:p w14:paraId="16FBFED0"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2015 and 2016, volunteers were trained to monitor lake level and precipitation on North Pipe and Pipe Lakes. While precipitation has continuously been monitored, lake level has not since 2016. At the time of writing the 2018 management plan, Pipe and North Pipe Lakes were in an unusual moist period. From 2014 until part way into 2020, the Palmer Drought Severity Index for northwest Wisconsin was above 0, meaning there was above average moisture. This is the longest period of time above normal moisture since the beginning of the index record, as seen in the chart below, which was created by the Wisconsin State Climatology Office. While 2019 was the wettest year within the past two decades, 2020 was a very dry year that moved into a moderate drought in 2021. With the abrupt change from wet to dry, it could be beneficial to complete another lake level and precipitation comparative study in the years remaining on the 2018 management plan. </w:t>
      </w:r>
    </w:p>
    <w:p w14:paraId="5C6B3632" w14:textId="77777777" w:rsidR="00670615" w:rsidRDefault="009974B4">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6AB1B4F" wp14:editId="326891B6">
            <wp:extent cx="4108450" cy="2606040"/>
            <wp:effectExtent l="0" t="0" r="6350" b="3810"/>
            <wp:docPr id="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108854" cy="2606296"/>
                    </a:xfrm>
                    <a:prstGeom prst="rect">
                      <a:avLst/>
                    </a:prstGeom>
                    <a:ln/>
                  </pic:spPr>
                </pic:pic>
              </a:graphicData>
            </a:graphic>
          </wp:inline>
        </w:drawing>
      </w:r>
    </w:p>
    <w:p w14:paraId="180B04B1" w14:textId="7777777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4. Wisconsin Palmer Drought Severity Index.</w:t>
      </w:r>
    </w:p>
    <w:p w14:paraId="79BFBCAF" w14:textId="188D584C" w:rsidR="00670615" w:rsidRDefault="00B26B62">
      <w:pPr>
        <w:rPr>
          <w:rFonts w:ascii="Times New Roman" w:eastAsia="Times New Roman" w:hAnsi="Times New Roman" w:cs="Times New Roman"/>
          <w:sz w:val="24"/>
          <w:szCs w:val="24"/>
        </w:rPr>
      </w:pPr>
      <w:r>
        <w:rPr>
          <w:rFonts w:ascii="Times New Roman" w:eastAsia="Times New Roman" w:hAnsi="Times New Roman" w:cs="Times New Roman"/>
          <w:sz w:val="24"/>
          <w:szCs w:val="24"/>
        </w:rPr>
        <w:t>While</w:t>
      </w:r>
      <w:r w:rsidR="009974B4">
        <w:rPr>
          <w:rFonts w:ascii="Times New Roman" w:eastAsia="Times New Roman" w:hAnsi="Times New Roman" w:cs="Times New Roman"/>
          <w:sz w:val="24"/>
          <w:szCs w:val="24"/>
        </w:rPr>
        <w:t xml:space="preserve"> monitoring seasonal precipitation </w:t>
      </w:r>
      <w:r w:rsidR="00F00E67">
        <w:rPr>
          <w:rFonts w:ascii="Times New Roman" w:eastAsia="Times New Roman" w:hAnsi="Times New Roman" w:cs="Times New Roman"/>
          <w:sz w:val="24"/>
          <w:szCs w:val="24"/>
        </w:rPr>
        <w:t xml:space="preserve">locally </w:t>
      </w:r>
      <w:r w:rsidR="009974B4">
        <w:rPr>
          <w:rFonts w:ascii="Times New Roman" w:eastAsia="Times New Roman" w:hAnsi="Times New Roman" w:cs="Times New Roman"/>
          <w:sz w:val="24"/>
          <w:szCs w:val="24"/>
        </w:rPr>
        <w:t xml:space="preserve">is important for understanding many water quality parameters, it is also noteworthy to look at annual precipitation values for the </w:t>
      </w:r>
      <w:r>
        <w:rPr>
          <w:rFonts w:ascii="Times New Roman" w:eastAsia="Times New Roman" w:hAnsi="Times New Roman" w:cs="Times New Roman"/>
          <w:sz w:val="24"/>
          <w:szCs w:val="24"/>
        </w:rPr>
        <w:t>region</w:t>
      </w:r>
      <w:r w:rsidR="009974B4">
        <w:rPr>
          <w:rFonts w:ascii="Times New Roman" w:eastAsia="Times New Roman" w:hAnsi="Times New Roman" w:cs="Times New Roman"/>
          <w:sz w:val="24"/>
          <w:szCs w:val="24"/>
        </w:rPr>
        <w:t xml:space="preserve"> surrounding the lakes</w:t>
      </w:r>
      <w:r w:rsidR="00FB0F3D">
        <w:rPr>
          <w:rFonts w:ascii="Times New Roman" w:eastAsia="Times New Roman" w:hAnsi="Times New Roman" w:cs="Times New Roman"/>
          <w:sz w:val="24"/>
          <w:szCs w:val="24"/>
        </w:rPr>
        <w:t xml:space="preserve"> as well</w:t>
      </w:r>
      <w:r w:rsidR="009974B4">
        <w:rPr>
          <w:rFonts w:ascii="Times New Roman" w:eastAsia="Times New Roman" w:hAnsi="Times New Roman" w:cs="Times New Roman"/>
          <w:sz w:val="24"/>
          <w:szCs w:val="24"/>
        </w:rPr>
        <w:t xml:space="preserve">. </w:t>
      </w:r>
      <w:r w:rsidR="00DD69DD">
        <w:rPr>
          <w:rFonts w:ascii="Times New Roman" w:eastAsia="Times New Roman" w:hAnsi="Times New Roman" w:cs="Times New Roman"/>
          <w:sz w:val="24"/>
          <w:szCs w:val="24"/>
        </w:rPr>
        <w:t xml:space="preserve">Especially in years where monitoring is more minimal, by looking at trends associated with annual and seasonal monitoring, we can get a better understanding of what went on during that </w:t>
      </w:r>
      <w:r w:rsidR="006E3769">
        <w:rPr>
          <w:rFonts w:ascii="Times New Roman" w:eastAsia="Times New Roman" w:hAnsi="Times New Roman" w:cs="Times New Roman"/>
          <w:sz w:val="24"/>
          <w:szCs w:val="24"/>
        </w:rPr>
        <w:t xml:space="preserve">missed </w:t>
      </w:r>
      <w:r w:rsidR="00DD69DD">
        <w:rPr>
          <w:rFonts w:ascii="Times New Roman" w:eastAsia="Times New Roman" w:hAnsi="Times New Roman" w:cs="Times New Roman"/>
          <w:sz w:val="24"/>
          <w:szCs w:val="24"/>
        </w:rPr>
        <w:t xml:space="preserve">time. </w:t>
      </w:r>
      <w:r w:rsidR="009974B4">
        <w:rPr>
          <w:rFonts w:ascii="Times New Roman" w:eastAsia="Times New Roman" w:hAnsi="Times New Roman" w:cs="Times New Roman"/>
          <w:sz w:val="24"/>
          <w:szCs w:val="24"/>
        </w:rPr>
        <w:t xml:space="preserve">In the graph below, precipitation values are shown for monitored </w:t>
      </w:r>
      <w:r w:rsidR="006E3769">
        <w:rPr>
          <w:rFonts w:ascii="Times New Roman" w:eastAsia="Times New Roman" w:hAnsi="Times New Roman" w:cs="Times New Roman"/>
          <w:sz w:val="24"/>
          <w:szCs w:val="24"/>
        </w:rPr>
        <w:t xml:space="preserve">seasonal </w:t>
      </w:r>
      <w:r w:rsidR="009974B4">
        <w:rPr>
          <w:rFonts w:ascii="Times New Roman" w:eastAsia="Times New Roman" w:hAnsi="Times New Roman" w:cs="Times New Roman"/>
          <w:sz w:val="24"/>
          <w:szCs w:val="24"/>
        </w:rPr>
        <w:t xml:space="preserve">precipitation levels from volunteers </w:t>
      </w:r>
      <w:r w:rsidR="00FB0F3D">
        <w:rPr>
          <w:rFonts w:ascii="Times New Roman" w:eastAsia="Times New Roman" w:hAnsi="Times New Roman" w:cs="Times New Roman"/>
          <w:sz w:val="24"/>
          <w:szCs w:val="24"/>
        </w:rPr>
        <w:t xml:space="preserve">in warmer months (between </w:t>
      </w:r>
      <w:r w:rsidR="006E3769">
        <w:rPr>
          <w:rFonts w:ascii="Times New Roman" w:eastAsia="Times New Roman" w:hAnsi="Times New Roman" w:cs="Times New Roman"/>
          <w:sz w:val="24"/>
          <w:szCs w:val="24"/>
        </w:rPr>
        <w:t>June</w:t>
      </w:r>
      <w:r w:rsidR="00FB0F3D">
        <w:rPr>
          <w:rFonts w:ascii="Times New Roman" w:eastAsia="Times New Roman" w:hAnsi="Times New Roman" w:cs="Times New Roman"/>
          <w:sz w:val="24"/>
          <w:szCs w:val="24"/>
        </w:rPr>
        <w:t xml:space="preserve"> and </w:t>
      </w:r>
      <w:r w:rsidR="006E3769">
        <w:rPr>
          <w:rFonts w:ascii="Times New Roman" w:eastAsia="Times New Roman" w:hAnsi="Times New Roman" w:cs="Times New Roman"/>
          <w:sz w:val="24"/>
          <w:szCs w:val="24"/>
        </w:rPr>
        <w:t>September</w:t>
      </w:r>
      <w:r w:rsidR="00FB0F3D">
        <w:rPr>
          <w:rFonts w:ascii="Times New Roman" w:eastAsia="Times New Roman" w:hAnsi="Times New Roman" w:cs="Times New Roman"/>
          <w:sz w:val="24"/>
          <w:szCs w:val="24"/>
        </w:rPr>
        <w:t xml:space="preserve">) </w:t>
      </w:r>
      <w:r w:rsidR="009974B4">
        <w:rPr>
          <w:rFonts w:ascii="Times New Roman" w:eastAsia="Times New Roman" w:hAnsi="Times New Roman" w:cs="Times New Roman"/>
          <w:sz w:val="24"/>
          <w:szCs w:val="24"/>
        </w:rPr>
        <w:t xml:space="preserve">as well as </w:t>
      </w:r>
      <w:r w:rsidR="00FB0F3D">
        <w:rPr>
          <w:rFonts w:ascii="Times New Roman" w:eastAsia="Times New Roman" w:hAnsi="Times New Roman" w:cs="Times New Roman"/>
          <w:sz w:val="24"/>
          <w:szCs w:val="24"/>
        </w:rPr>
        <w:t xml:space="preserve">annual </w:t>
      </w:r>
      <w:r w:rsidR="009974B4">
        <w:rPr>
          <w:rFonts w:ascii="Times New Roman" w:eastAsia="Times New Roman" w:hAnsi="Times New Roman" w:cs="Times New Roman"/>
          <w:sz w:val="24"/>
          <w:szCs w:val="24"/>
        </w:rPr>
        <w:t xml:space="preserve">precipitation values from the Cumberland weather station, which is located about 10 miles east of Pipe Lake. </w:t>
      </w:r>
      <w:r w:rsidR="00CE741E">
        <w:rPr>
          <w:rFonts w:ascii="Times New Roman" w:eastAsia="Times New Roman" w:hAnsi="Times New Roman" w:cs="Times New Roman"/>
          <w:sz w:val="24"/>
          <w:szCs w:val="24"/>
        </w:rPr>
        <w:t xml:space="preserve">According to the </w:t>
      </w:r>
      <w:r w:rsidR="0024331B">
        <w:rPr>
          <w:rFonts w:ascii="Times New Roman" w:eastAsia="Times New Roman" w:hAnsi="Times New Roman" w:cs="Times New Roman"/>
          <w:sz w:val="24"/>
          <w:szCs w:val="24"/>
        </w:rPr>
        <w:t>graph</w:t>
      </w:r>
      <w:r w:rsidR="00CE741E">
        <w:rPr>
          <w:rFonts w:ascii="Times New Roman" w:eastAsia="Times New Roman" w:hAnsi="Times New Roman" w:cs="Times New Roman"/>
          <w:sz w:val="24"/>
          <w:szCs w:val="24"/>
        </w:rPr>
        <w:t xml:space="preserve">, the lakes recorded </w:t>
      </w:r>
      <w:r w:rsidR="00F00E67">
        <w:rPr>
          <w:rFonts w:ascii="Times New Roman" w:eastAsia="Times New Roman" w:hAnsi="Times New Roman" w:cs="Times New Roman"/>
          <w:sz w:val="24"/>
          <w:szCs w:val="24"/>
        </w:rPr>
        <w:t>the lowest seasonal</w:t>
      </w:r>
      <w:r w:rsidR="0024331B">
        <w:rPr>
          <w:rFonts w:ascii="Times New Roman" w:eastAsia="Times New Roman" w:hAnsi="Times New Roman" w:cs="Times New Roman"/>
          <w:sz w:val="24"/>
          <w:szCs w:val="24"/>
        </w:rPr>
        <w:t xml:space="preserve"> precipitation in 2020 in the last two decades and the highest in 2010. </w:t>
      </w:r>
      <w:r w:rsidR="0042165B">
        <w:rPr>
          <w:rFonts w:ascii="Times New Roman" w:eastAsia="Times New Roman" w:hAnsi="Times New Roman" w:cs="Times New Roman"/>
          <w:sz w:val="24"/>
          <w:szCs w:val="24"/>
        </w:rPr>
        <w:t>The area</w:t>
      </w:r>
      <w:r>
        <w:rPr>
          <w:rFonts w:ascii="Times New Roman" w:eastAsia="Times New Roman" w:hAnsi="Times New Roman" w:cs="Times New Roman"/>
          <w:sz w:val="24"/>
          <w:szCs w:val="24"/>
        </w:rPr>
        <w:t xml:space="preserve"> around the lakes</w:t>
      </w:r>
      <w:r w:rsidR="0042165B">
        <w:rPr>
          <w:rFonts w:ascii="Times New Roman" w:eastAsia="Times New Roman" w:hAnsi="Times New Roman" w:cs="Times New Roman"/>
          <w:sz w:val="24"/>
          <w:szCs w:val="24"/>
        </w:rPr>
        <w:t xml:space="preserve"> recorded the lowest annual precipitation in 2021 within the past two decades and the highest in 2019. </w:t>
      </w:r>
      <w:r w:rsidR="0024331B">
        <w:rPr>
          <w:rFonts w:ascii="Times New Roman" w:eastAsia="Times New Roman" w:hAnsi="Times New Roman" w:cs="Times New Roman"/>
          <w:sz w:val="24"/>
          <w:szCs w:val="24"/>
        </w:rPr>
        <w:t>While local seasonal summer precipitation saw an increase in 2018, annual precipitation saw a large increase in 2019.</w:t>
      </w:r>
      <w:r>
        <w:rPr>
          <w:rFonts w:ascii="Times New Roman" w:eastAsia="Times New Roman" w:hAnsi="Times New Roman" w:cs="Times New Roman"/>
          <w:sz w:val="24"/>
          <w:szCs w:val="24"/>
        </w:rPr>
        <w:t xml:space="preserve"> The reason for the difference in 2019 is because there was a large amount of precipitation recorded in months outside of June through September. </w:t>
      </w:r>
      <w:r w:rsidR="0042165B">
        <w:rPr>
          <w:rFonts w:ascii="Times New Roman" w:eastAsia="Times New Roman" w:hAnsi="Times New Roman" w:cs="Times New Roman"/>
          <w:sz w:val="24"/>
          <w:szCs w:val="24"/>
        </w:rPr>
        <w:t xml:space="preserve">We can </w:t>
      </w:r>
      <w:r w:rsidR="00D549B3">
        <w:rPr>
          <w:rFonts w:ascii="Times New Roman" w:eastAsia="Times New Roman" w:hAnsi="Times New Roman" w:cs="Times New Roman"/>
          <w:sz w:val="24"/>
          <w:szCs w:val="24"/>
        </w:rPr>
        <w:t>possibly</w:t>
      </w:r>
      <w:r w:rsidR="0042165B">
        <w:rPr>
          <w:rFonts w:ascii="Times New Roman" w:eastAsia="Times New Roman" w:hAnsi="Times New Roman" w:cs="Times New Roman"/>
          <w:sz w:val="24"/>
          <w:szCs w:val="24"/>
        </w:rPr>
        <w:t xml:space="preserve"> assume that from the graph and relationships between the two precipitation datasets that in 2012 and 2013, there </w:t>
      </w:r>
      <w:r w:rsidR="00D549B3">
        <w:rPr>
          <w:rFonts w:ascii="Times New Roman" w:eastAsia="Times New Roman" w:hAnsi="Times New Roman" w:cs="Times New Roman"/>
          <w:sz w:val="24"/>
          <w:szCs w:val="24"/>
        </w:rPr>
        <w:t>w</w:t>
      </w:r>
      <w:r w:rsidR="0042165B">
        <w:rPr>
          <w:rFonts w:ascii="Times New Roman" w:eastAsia="Times New Roman" w:hAnsi="Times New Roman" w:cs="Times New Roman"/>
          <w:sz w:val="24"/>
          <w:szCs w:val="24"/>
        </w:rPr>
        <w:t xml:space="preserve">as an increase in seasonal summer precipitation, even </w:t>
      </w:r>
      <w:r w:rsidR="00D549B3">
        <w:rPr>
          <w:rFonts w:ascii="Times New Roman" w:eastAsia="Times New Roman" w:hAnsi="Times New Roman" w:cs="Times New Roman"/>
          <w:sz w:val="24"/>
          <w:szCs w:val="24"/>
        </w:rPr>
        <w:t xml:space="preserve">though </w:t>
      </w:r>
      <w:r w:rsidR="0042165B">
        <w:rPr>
          <w:rFonts w:ascii="Times New Roman" w:eastAsia="Times New Roman" w:hAnsi="Times New Roman" w:cs="Times New Roman"/>
          <w:sz w:val="24"/>
          <w:szCs w:val="24"/>
        </w:rPr>
        <w:t xml:space="preserve">there was no </w:t>
      </w:r>
      <w:r w:rsidR="00D549B3">
        <w:rPr>
          <w:rFonts w:ascii="Times New Roman" w:eastAsia="Times New Roman" w:hAnsi="Times New Roman" w:cs="Times New Roman"/>
          <w:sz w:val="24"/>
          <w:szCs w:val="24"/>
        </w:rPr>
        <w:t>monitored data recorded.</w:t>
      </w:r>
    </w:p>
    <w:p w14:paraId="4BB6833B" w14:textId="279FFE08" w:rsidR="00670615" w:rsidRDefault="00F00E67">
      <w:pPr>
        <w:jc w:val="center"/>
        <w:rPr>
          <w:rFonts w:ascii="Times New Roman" w:eastAsia="Times New Roman" w:hAnsi="Times New Roman" w:cs="Times New Roman"/>
          <w:sz w:val="24"/>
          <w:szCs w:val="24"/>
        </w:rPr>
      </w:pPr>
      <w:r>
        <w:rPr>
          <w:noProof/>
        </w:rPr>
        <w:drawing>
          <wp:inline distT="0" distB="0" distL="0" distR="0" wp14:anchorId="23279605" wp14:editId="30143198">
            <wp:extent cx="5699760" cy="2636520"/>
            <wp:effectExtent l="0" t="0" r="0" b="0"/>
            <wp:docPr id="3" name="Chart 3">
              <a:extLst xmlns:a="http://schemas.openxmlformats.org/drawingml/2006/main">
                <a:ext uri="{FF2B5EF4-FFF2-40B4-BE49-F238E27FC236}">
                  <a16:creationId xmlns:a16="http://schemas.microsoft.com/office/drawing/2014/main" id="{413B3D94-1AC8-43BA-AF41-67DBB702F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D53970" w14:textId="7777777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5. A plot of the region weather station in Cumberland and local precipitation measurements.</w:t>
      </w:r>
    </w:p>
    <w:p w14:paraId="160950B6" w14:textId="77777777" w:rsidR="00670615" w:rsidRPr="009974B4" w:rsidRDefault="009974B4">
      <w:pPr>
        <w:rPr>
          <w:rFonts w:ascii="Times New Roman" w:eastAsia="Times New Roman" w:hAnsi="Times New Roman" w:cs="Times New Roman"/>
          <w:bCs/>
          <w:i/>
          <w:iCs/>
          <w:sz w:val="24"/>
          <w:szCs w:val="24"/>
        </w:rPr>
      </w:pPr>
      <w:r w:rsidRPr="009974B4">
        <w:rPr>
          <w:rFonts w:ascii="Times New Roman" w:eastAsia="Times New Roman" w:hAnsi="Times New Roman" w:cs="Times New Roman"/>
          <w:bCs/>
          <w:i/>
          <w:iCs/>
          <w:sz w:val="24"/>
          <w:szCs w:val="24"/>
        </w:rPr>
        <w:t>Secchi Depth</w:t>
      </w:r>
    </w:p>
    <w:p w14:paraId="7E6A137B"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Secchi depth is a measure of how far light is able to penetrate through water. Algae and suspended solids are just a few of the things that can alter the light penetration depth. Secchi depth is determined using a black and white circular piece of metal called a secchi disk, attached to a rope that is lowered into the water. The depth at which you can just barely see the secchi disk is called the secchi depth. </w:t>
      </w:r>
    </w:p>
    <w:p w14:paraId="636D0B17" w14:textId="7C5A0B16" w:rsidR="00E81912"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mentioned in the 2018 management plan, Pipe Lake secchi depth is always significantly larger than North Pipe Lake. </w:t>
      </w:r>
      <w:r w:rsidR="003B4097">
        <w:rPr>
          <w:rFonts w:ascii="Times New Roman" w:eastAsia="Times New Roman" w:hAnsi="Times New Roman" w:cs="Times New Roman"/>
          <w:sz w:val="24"/>
          <w:szCs w:val="24"/>
        </w:rPr>
        <w:t xml:space="preserve">This is because North Pipe waters are stained with tannic acid which gives the water a brownish color that is naturally darker than clear water. </w:t>
      </w:r>
      <w:r>
        <w:rPr>
          <w:rFonts w:ascii="Times New Roman" w:eastAsia="Times New Roman" w:hAnsi="Times New Roman" w:cs="Times New Roman"/>
          <w:sz w:val="24"/>
          <w:szCs w:val="24"/>
        </w:rPr>
        <w:t xml:space="preserve">The largest summer index period average secchi depth, from </w:t>
      </w:r>
      <w:r w:rsidR="003B4097">
        <w:rPr>
          <w:rFonts w:ascii="Times New Roman" w:eastAsia="Times New Roman" w:hAnsi="Times New Roman" w:cs="Times New Roman"/>
          <w:sz w:val="24"/>
          <w:szCs w:val="24"/>
        </w:rPr>
        <w:t>June through August</w:t>
      </w:r>
      <w:r>
        <w:rPr>
          <w:rFonts w:ascii="Times New Roman" w:eastAsia="Times New Roman" w:hAnsi="Times New Roman" w:cs="Times New Roman"/>
          <w:sz w:val="24"/>
          <w:szCs w:val="24"/>
        </w:rPr>
        <w:t xml:space="preserve">, for Pipe Lake </w:t>
      </w:r>
      <w:r w:rsidR="00A9532E">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past decade was recorded in 201</w:t>
      </w:r>
      <w:r w:rsidR="003B4097">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at </w:t>
      </w:r>
      <w:r w:rsidR="003B4097">
        <w:rPr>
          <w:rFonts w:ascii="Times New Roman" w:eastAsia="Times New Roman" w:hAnsi="Times New Roman" w:cs="Times New Roman"/>
          <w:sz w:val="24"/>
          <w:szCs w:val="24"/>
        </w:rPr>
        <w:t>1</w:t>
      </w:r>
      <w:r w:rsidR="00E81912">
        <w:rPr>
          <w:rFonts w:ascii="Times New Roman" w:eastAsia="Times New Roman" w:hAnsi="Times New Roman" w:cs="Times New Roman"/>
          <w:sz w:val="24"/>
          <w:szCs w:val="24"/>
        </w:rPr>
        <w:t>8.5</w:t>
      </w:r>
      <w:r>
        <w:rPr>
          <w:rFonts w:ascii="Times New Roman" w:eastAsia="Times New Roman" w:hAnsi="Times New Roman" w:cs="Times New Roman"/>
          <w:sz w:val="24"/>
          <w:szCs w:val="24"/>
        </w:rPr>
        <w:t xml:space="preserve"> f</w:t>
      </w:r>
      <w:r w:rsidR="00A9532E">
        <w:rPr>
          <w:rFonts w:ascii="Times New Roman" w:eastAsia="Times New Roman" w:hAnsi="Times New Roman" w:cs="Times New Roman"/>
          <w:sz w:val="24"/>
          <w:szCs w:val="24"/>
        </w:rPr>
        <w:t>ee</w:t>
      </w:r>
      <w:r>
        <w:rPr>
          <w:rFonts w:ascii="Times New Roman" w:eastAsia="Times New Roman" w:hAnsi="Times New Roman" w:cs="Times New Roman"/>
          <w:sz w:val="24"/>
          <w:szCs w:val="24"/>
        </w:rPr>
        <w:t>t, while the lowest was recorded in 2019 at 10.</w:t>
      </w:r>
      <w:r w:rsidR="003B4097">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f</w:t>
      </w:r>
      <w:r w:rsidR="00A9532E">
        <w:rPr>
          <w:rFonts w:ascii="Times New Roman" w:eastAsia="Times New Roman" w:hAnsi="Times New Roman" w:cs="Times New Roman"/>
          <w:sz w:val="24"/>
          <w:szCs w:val="24"/>
        </w:rPr>
        <w:t>ee</w:t>
      </w:r>
      <w:r>
        <w:rPr>
          <w:rFonts w:ascii="Times New Roman" w:eastAsia="Times New Roman" w:hAnsi="Times New Roman" w:cs="Times New Roman"/>
          <w:sz w:val="24"/>
          <w:szCs w:val="24"/>
        </w:rPr>
        <w:t xml:space="preserve">t. </w:t>
      </w:r>
      <w:r w:rsidR="005B36B4">
        <w:rPr>
          <w:rFonts w:ascii="Times New Roman" w:eastAsia="Times New Roman" w:hAnsi="Times New Roman" w:cs="Times New Roman"/>
          <w:sz w:val="24"/>
          <w:szCs w:val="24"/>
        </w:rPr>
        <w:t>On August 18, 2012, the last secchi depth larger than 20 feet was recorded for Pipe Lake. Before then, between 1999 and 2012, there were over 22 secchi depths with values over 20 feet. By looking at the trendlines you will notice that Pipe Lake secchi depth has been steadily decreasing for the last 22 years, and at a faster rate than North Pipe Lake.</w:t>
      </w:r>
    </w:p>
    <w:p w14:paraId="5A5B3900" w14:textId="1197640A" w:rsidR="00193F22"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largest summer index period average secchi depth for North Pipe Lake from the past decade was recorded in 201</w:t>
      </w:r>
      <w:r w:rsidR="003B409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at </w:t>
      </w:r>
      <w:r w:rsidR="003B4097">
        <w:rPr>
          <w:rFonts w:ascii="Times New Roman" w:eastAsia="Times New Roman" w:hAnsi="Times New Roman" w:cs="Times New Roman"/>
          <w:sz w:val="24"/>
          <w:szCs w:val="24"/>
        </w:rPr>
        <w:t>9.1</w:t>
      </w:r>
      <w:r>
        <w:rPr>
          <w:rFonts w:ascii="Times New Roman" w:eastAsia="Times New Roman" w:hAnsi="Times New Roman" w:cs="Times New Roman"/>
          <w:sz w:val="24"/>
          <w:szCs w:val="24"/>
        </w:rPr>
        <w:t xml:space="preserve"> f</w:t>
      </w:r>
      <w:r w:rsidR="00A9532E">
        <w:rPr>
          <w:rFonts w:ascii="Times New Roman" w:eastAsia="Times New Roman" w:hAnsi="Times New Roman" w:cs="Times New Roman"/>
          <w:sz w:val="24"/>
          <w:szCs w:val="24"/>
        </w:rPr>
        <w:t>ee</w:t>
      </w:r>
      <w:r>
        <w:rPr>
          <w:rFonts w:ascii="Times New Roman" w:eastAsia="Times New Roman" w:hAnsi="Times New Roman" w:cs="Times New Roman"/>
          <w:sz w:val="24"/>
          <w:szCs w:val="24"/>
        </w:rPr>
        <w:t>t while the lowest was recorded in 20</w:t>
      </w:r>
      <w:r w:rsidR="003B409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at 3.</w:t>
      </w:r>
      <w:r w:rsidR="003B409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f</w:t>
      </w:r>
      <w:r w:rsidR="000229E7">
        <w:rPr>
          <w:rFonts w:ascii="Times New Roman" w:eastAsia="Times New Roman" w:hAnsi="Times New Roman" w:cs="Times New Roman"/>
          <w:sz w:val="24"/>
          <w:szCs w:val="24"/>
        </w:rPr>
        <w:t>ee</w:t>
      </w:r>
      <w:r>
        <w:rPr>
          <w:rFonts w:ascii="Times New Roman" w:eastAsia="Times New Roman" w:hAnsi="Times New Roman" w:cs="Times New Roman"/>
          <w:sz w:val="24"/>
          <w:szCs w:val="24"/>
        </w:rPr>
        <w:t xml:space="preserve">t. </w:t>
      </w:r>
      <w:r w:rsidR="000229E7">
        <w:rPr>
          <w:rFonts w:ascii="Times New Roman" w:eastAsia="Times New Roman" w:hAnsi="Times New Roman" w:cs="Times New Roman"/>
          <w:sz w:val="24"/>
          <w:szCs w:val="24"/>
        </w:rPr>
        <w:t xml:space="preserve">The lowest ever recorded secchi depth was on August 7, </w:t>
      </w:r>
      <w:r w:rsidR="00121B99">
        <w:rPr>
          <w:rFonts w:ascii="Times New Roman" w:eastAsia="Times New Roman" w:hAnsi="Times New Roman" w:cs="Times New Roman"/>
          <w:sz w:val="24"/>
          <w:szCs w:val="24"/>
        </w:rPr>
        <w:t>2014,</w:t>
      </w:r>
      <w:r w:rsidR="000229E7">
        <w:rPr>
          <w:rFonts w:ascii="Times New Roman" w:eastAsia="Times New Roman" w:hAnsi="Times New Roman" w:cs="Times New Roman"/>
          <w:sz w:val="24"/>
          <w:szCs w:val="24"/>
        </w:rPr>
        <w:t xml:space="preserve"> at 2.0 feet while the highest recorded was 14.</w:t>
      </w:r>
      <w:r w:rsidR="00A9532E">
        <w:rPr>
          <w:rFonts w:ascii="Times New Roman" w:eastAsia="Times New Roman" w:hAnsi="Times New Roman" w:cs="Times New Roman"/>
          <w:sz w:val="24"/>
          <w:szCs w:val="24"/>
        </w:rPr>
        <w:t>3</w:t>
      </w:r>
      <w:r w:rsidR="000229E7">
        <w:rPr>
          <w:rFonts w:ascii="Times New Roman" w:eastAsia="Times New Roman" w:hAnsi="Times New Roman" w:cs="Times New Roman"/>
          <w:sz w:val="24"/>
          <w:szCs w:val="24"/>
        </w:rPr>
        <w:t xml:space="preserve"> feet on May 14, 2007.</w:t>
      </w:r>
      <w:r w:rsidR="003A466D">
        <w:rPr>
          <w:rFonts w:ascii="Times New Roman" w:eastAsia="Times New Roman" w:hAnsi="Times New Roman" w:cs="Times New Roman"/>
          <w:sz w:val="24"/>
          <w:szCs w:val="24"/>
        </w:rPr>
        <w:t xml:space="preserve"> Following the 2019 wet year, the drier years of 2020 and 2021 saw secchi depth values decrease in North Pipe Lake and increase in Pipe Lake. </w:t>
      </w:r>
    </w:p>
    <w:p w14:paraId="5CE1E6EF" w14:textId="73C5F75D" w:rsidR="00670615" w:rsidRDefault="00E81912">
      <w:pPr>
        <w:rPr>
          <w:rFonts w:ascii="Times New Roman" w:eastAsia="Times New Roman" w:hAnsi="Times New Roman" w:cs="Times New Roman"/>
          <w:sz w:val="24"/>
          <w:szCs w:val="24"/>
        </w:rPr>
      </w:pPr>
      <w:r>
        <w:rPr>
          <w:noProof/>
        </w:rPr>
        <w:drawing>
          <wp:inline distT="0" distB="0" distL="0" distR="0" wp14:anchorId="0CAFA48C" wp14:editId="184B7506">
            <wp:extent cx="5943600" cy="2464435"/>
            <wp:effectExtent l="0" t="0" r="0" b="0"/>
            <wp:docPr id="8" name="Chart 8">
              <a:extLst xmlns:a="http://schemas.openxmlformats.org/drawingml/2006/main">
                <a:ext uri="{FF2B5EF4-FFF2-40B4-BE49-F238E27FC236}">
                  <a16:creationId xmlns:a16="http://schemas.microsoft.com/office/drawing/2014/main" id="{5EFEC0CF-C2EC-4905-B3A0-BF9D104022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9974B4">
        <w:rPr>
          <w:rFonts w:ascii="Times New Roman" w:eastAsia="Times New Roman" w:hAnsi="Times New Roman" w:cs="Times New Roman"/>
          <w:sz w:val="24"/>
          <w:szCs w:val="24"/>
        </w:rPr>
        <w:t xml:space="preserve"> </w:t>
      </w:r>
    </w:p>
    <w:p w14:paraId="61654613" w14:textId="7777777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6. A plot of average Secchi depths, including trendlines for both Pipe and North Pipe Lakes.</w:t>
      </w:r>
    </w:p>
    <w:p w14:paraId="053E2C49" w14:textId="77777777" w:rsidR="00670615" w:rsidRPr="009974B4" w:rsidRDefault="009974B4">
      <w:pPr>
        <w:rPr>
          <w:rFonts w:ascii="Times New Roman" w:eastAsia="Times New Roman" w:hAnsi="Times New Roman" w:cs="Times New Roman"/>
          <w:bCs/>
          <w:i/>
          <w:iCs/>
          <w:sz w:val="24"/>
          <w:szCs w:val="24"/>
        </w:rPr>
      </w:pPr>
      <w:r w:rsidRPr="009974B4">
        <w:rPr>
          <w:rFonts w:ascii="Times New Roman" w:eastAsia="Times New Roman" w:hAnsi="Times New Roman" w:cs="Times New Roman"/>
          <w:bCs/>
          <w:i/>
          <w:iCs/>
          <w:sz w:val="24"/>
          <w:szCs w:val="24"/>
        </w:rPr>
        <w:t>Chlorophyll a</w:t>
      </w:r>
    </w:p>
    <w:p w14:paraId="3D3596C8"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Chlorophyll a is a green pigment found in plants that plays a large role in photosynthesis. Chlorophyll a is frequently used to measure water quality and can also be used to assess trophic status of lakes. Mentioned in the 2018 management plan, water clarity is often impacted considerably when chlorophyll a concentrations are higher than 30 µg/l but generally clear when concentrations are less than 15 µg/l. </w:t>
      </w:r>
    </w:p>
    <w:p w14:paraId="4BE63B37"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2015 to 2021, chlorophyll a concentrations in Pipe Lake did not go above 10 µg/l for the average between the months of June and September. From the first sample analyzed for chlorophyll a, taken in 1994, the summer month average has never been above 10 µg/l. The highest chlorophyll a concentration recorded for Pipe Lake is 11.3, taken in June of 2019. It’s consistent water clarity helps keep Pipe Lake listed as an Outstanding Resource Water. </w:t>
      </w:r>
    </w:p>
    <w:p w14:paraId="5A7A8E89" w14:textId="3F121C98" w:rsidR="00670615" w:rsidRDefault="005C3C52">
      <w:pPr>
        <w:rPr>
          <w:rFonts w:ascii="Times New Roman" w:eastAsia="Times New Roman" w:hAnsi="Times New Roman" w:cs="Times New Roman"/>
          <w:sz w:val="24"/>
          <w:szCs w:val="24"/>
        </w:rPr>
      </w:pPr>
      <w:r w:rsidRPr="005C3C52">
        <w:rPr>
          <w:rFonts w:ascii="Times New Roman" w:hAnsi="Times New Roman" w:cs="Times New Roman"/>
          <w:color w:val="000000"/>
          <w:sz w:val="24"/>
          <w:szCs w:val="24"/>
        </w:rPr>
        <w:t xml:space="preserve">North Pipe Lake has seen an increase in chlorophyll a concentration over the past 20 years. June of 2021 saw the highest chlorophyll a concentration recorded at 68 ug/l with the second highest concentration of 62.5 ug/l recorded in </w:t>
      </w:r>
      <w:r w:rsidR="00121B99" w:rsidRPr="005C3C52">
        <w:rPr>
          <w:rFonts w:ascii="Times New Roman" w:hAnsi="Times New Roman" w:cs="Times New Roman"/>
          <w:color w:val="000000"/>
          <w:sz w:val="24"/>
          <w:szCs w:val="24"/>
        </w:rPr>
        <w:t>July</w:t>
      </w:r>
      <w:r w:rsidRPr="005C3C52">
        <w:rPr>
          <w:rFonts w:ascii="Times New Roman" w:hAnsi="Times New Roman" w:cs="Times New Roman"/>
          <w:color w:val="000000"/>
          <w:sz w:val="24"/>
          <w:szCs w:val="24"/>
        </w:rPr>
        <w:t xml:space="preserve"> 2003.</w:t>
      </w:r>
      <w:r w:rsidRPr="005C3C52">
        <w:rPr>
          <w:color w:val="000000"/>
          <w:sz w:val="24"/>
          <w:szCs w:val="24"/>
        </w:rPr>
        <w:t xml:space="preserve"> </w:t>
      </w:r>
      <w:r w:rsidR="009974B4">
        <w:rPr>
          <w:rFonts w:ascii="Times New Roman" w:eastAsia="Times New Roman" w:hAnsi="Times New Roman" w:cs="Times New Roman"/>
          <w:sz w:val="24"/>
          <w:szCs w:val="24"/>
        </w:rPr>
        <w:t>Chlorophyll a concentrations stayed below 15 µg/l in summers of 2016 and 2019. Average summer concentrations between 15 and 30 µg/l were recorded in 2015, 2017, and 2018. In 2020 and 2021, the chlorophyll levels were higher than 30 µg/l, suggesting poorer water clarity compared to the past years. If you compare secchi depth in the section above, note secchi depth was very low in 2020 and 2021.</w:t>
      </w:r>
    </w:p>
    <w:p w14:paraId="2ABB0AA4"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Increasing trends in chlorophyll a concentrations suggest that both lakes are becoming more eutrophic. North Pipe Lake shows less buffering compared to Pipe Lake. </w:t>
      </w:r>
    </w:p>
    <w:p w14:paraId="64940C7E"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1B306314" wp14:editId="2F3C62BA">
            <wp:extent cx="5356860" cy="268986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EB03297" w14:textId="2197766D"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7. A plot </w:t>
      </w:r>
      <w:r w:rsidR="003518D6">
        <w:rPr>
          <w:rFonts w:ascii="Times New Roman" w:eastAsia="Times New Roman" w:hAnsi="Times New Roman" w:cs="Times New Roman"/>
          <w:i/>
          <w:sz w:val="24"/>
          <w:szCs w:val="24"/>
        </w:rPr>
        <w:t>of</w:t>
      </w:r>
      <w:r>
        <w:rPr>
          <w:rFonts w:ascii="Times New Roman" w:eastAsia="Times New Roman" w:hAnsi="Times New Roman" w:cs="Times New Roman"/>
          <w:i/>
          <w:sz w:val="24"/>
          <w:szCs w:val="24"/>
        </w:rPr>
        <w:t xml:space="preserve"> Chlorophyll a data, including trendlines for Pipe and North Pipe Lakes. </w:t>
      </w:r>
    </w:p>
    <w:p w14:paraId="0E7B97BF" w14:textId="4DFF83C3" w:rsidR="003518D6" w:rsidRDefault="003518D6" w:rsidP="003518D6">
      <w:pPr>
        <w:jc w:val="center"/>
        <w:rPr>
          <w:rFonts w:ascii="Times New Roman" w:eastAsia="Times New Roman" w:hAnsi="Times New Roman" w:cs="Times New Roman"/>
          <w:i/>
          <w:sz w:val="24"/>
          <w:szCs w:val="24"/>
        </w:rPr>
      </w:pPr>
      <w:r>
        <w:rPr>
          <w:noProof/>
        </w:rPr>
        <w:drawing>
          <wp:inline distT="0" distB="0" distL="0" distR="0" wp14:anchorId="2F141F5D" wp14:editId="5192B179">
            <wp:extent cx="5113020" cy="2712720"/>
            <wp:effectExtent l="0" t="0" r="0" b="0"/>
            <wp:docPr id="4" name="Chart 4">
              <a:extLst xmlns:a="http://schemas.openxmlformats.org/drawingml/2006/main">
                <a:ext uri="{FF2B5EF4-FFF2-40B4-BE49-F238E27FC236}">
                  <a16:creationId xmlns:a16="http://schemas.microsoft.com/office/drawing/2014/main" id="{E1C1E1D6-57C5-4212-A847-C85E1783B3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B2DC49" w14:textId="0BB9E15F" w:rsidR="003A466D" w:rsidRDefault="003518D6" w:rsidP="003518D6">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8. A plot of Chlorophyll a data between 2000 and 2021 for Pipe and North Pipe Lakes.</w:t>
      </w:r>
    </w:p>
    <w:p w14:paraId="68918526" w14:textId="77777777" w:rsidR="00670615" w:rsidRPr="009974B4" w:rsidRDefault="009974B4">
      <w:pPr>
        <w:rPr>
          <w:rFonts w:ascii="Times New Roman" w:eastAsia="Times New Roman" w:hAnsi="Times New Roman" w:cs="Times New Roman"/>
          <w:bCs/>
          <w:i/>
          <w:iCs/>
          <w:sz w:val="24"/>
          <w:szCs w:val="24"/>
        </w:rPr>
      </w:pPr>
      <w:r w:rsidRPr="009974B4">
        <w:rPr>
          <w:rFonts w:ascii="Times New Roman" w:eastAsia="Times New Roman" w:hAnsi="Times New Roman" w:cs="Times New Roman"/>
          <w:bCs/>
          <w:i/>
          <w:iCs/>
          <w:sz w:val="24"/>
          <w:szCs w:val="24"/>
        </w:rPr>
        <w:t>Total Phosphorus</w:t>
      </w:r>
    </w:p>
    <w:p w14:paraId="31ADE8C9"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phosphorus is a measure of both phosphorus the element and orthophosphate, which is the form of phosphorus that is readily taken up by aquatic organisms including algae. Phosphorus is an essential element required for plant growth and is commonly used in fertilizer for agricultural fields. When a lake gets an overabundance of phosphorus, biological response can increase eutrophication of the lake. Healthy waters in this region can naturally have total phosphorus concentrations of up to 20 µg/l without significant algae blooms. </w:t>
      </w:r>
    </w:p>
    <w:p w14:paraId="77C822A9"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Between 2015 and 2021 for the months of May to September, the concentrations of total phosphorus at the surface of the Z-max (the deepest hole in Pipe Lake) was below 20 µg/l. While 2020 saw the start of the drought, it still had the highest total phosphorus concentrations out of any sampling year going back until 2000 for Pipe Lake.</w:t>
      </w:r>
    </w:p>
    <w:p w14:paraId="53E69DB6"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North Pipe Lake differs greatly from Pipe Lake regarding surface total phosphorus. Every year between 2015 and 2021 concentrations were higher than 20 µg/l. In 2020 and 2021 the highest concentrations of total phosphorus were observed: 38 µg/l and 36.3 µg/l, respectively.</w:t>
      </w:r>
    </w:p>
    <w:p w14:paraId="513D33BF"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Total phosphorus concentrations for the Z-max depth for both Pipe and North Pipe and Pipe were higher than lake surface concentrations. Between the months of May and September in 2015 to 2021, the total phosphorus concentrations for Pipe Lake ranged between 22 and 46 µg/l. The summer of 2017 and 2018 saw the highest concentrations of total phosphorus for the Z-max (near bottom of the deep hole).</w:t>
      </w:r>
    </w:p>
    <w:p w14:paraId="33F6FE0E"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North Pipe Lake, between the months of May and September and years 2015 to 2021, the total phosphorus concentrations measured at the bottom of the lake were much higher than Pipe Lake. The values ranged from 103.5 µg/l in 2018 to 242.3 µg/l in 2019. From the graph shown below, it appears the internal loading of total phosphorus for North Pipe Lake is more variable than for Pipe Lake. </w:t>
      </w:r>
    </w:p>
    <w:p w14:paraId="257D267F"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3779C05D" wp14:editId="74077D3C">
            <wp:extent cx="5593080" cy="2354580"/>
            <wp:effectExtent l="0" t="0" r="7620" b="762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3A8D95"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1D2AA687" wp14:editId="0A511EB9">
            <wp:extent cx="5821680" cy="2430780"/>
            <wp:effectExtent l="0" t="0" r="7620" b="762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5676DA" w14:textId="725C26A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w:t>
      </w:r>
      <w:r w:rsidR="003518D6">
        <w:rPr>
          <w:rFonts w:ascii="Times New Roman" w:eastAsia="Times New Roman" w:hAnsi="Times New Roman" w:cs="Times New Roman"/>
          <w:i/>
          <w:sz w:val="24"/>
          <w:szCs w:val="24"/>
        </w:rPr>
        <w:t>9</w:t>
      </w:r>
      <w:r>
        <w:rPr>
          <w:rFonts w:ascii="Times New Roman" w:eastAsia="Times New Roman" w:hAnsi="Times New Roman" w:cs="Times New Roman"/>
          <w:i/>
          <w:sz w:val="24"/>
          <w:szCs w:val="24"/>
        </w:rPr>
        <w:t>. A plot of surface and bottom TP data</w:t>
      </w:r>
      <w:r w:rsidR="003A466D">
        <w:rPr>
          <w:rFonts w:ascii="Times New Roman" w:eastAsia="Times New Roman" w:hAnsi="Times New Roman" w:cs="Times New Roman"/>
          <w:i/>
          <w:sz w:val="24"/>
          <w:szCs w:val="24"/>
        </w:rPr>
        <w:t xml:space="preserve"> for both lakes</w:t>
      </w:r>
      <w:r>
        <w:rPr>
          <w:rFonts w:ascii="Times New Roman" w:eastAsia="Times New Roman" w:hAnsi="Times New Roman" w:cs="Times New Roman"/>
          <w:i/>
          <w:sz w:val="24"/>
          <w:szCs w:val="24"/>
        </w:rPr>
        <w:t>.</w:t>
      </w:r>
    </w:p>
    <w:p w14:paraId="421A6E59" w14:textId="77777777" w:rsidR="00670615" w:rsidRPr="009974B4" w:rsidRDefault="009974B4">
      <w:pPr>
        <w:rPr>
          <w:rFonts w:ascii="Times New Roman" w:eastAsia="Times New Roman" w:hAnsi="Times New Roman" w:cs="Times New Roman"/>
          <w:bCs/>
          <w:i/>
          <w:iCs/>
          <w:sz w:val="24"/>
          <w:szCs w:val="24"/>
        </w:rPr>
      </w:pPr>
      <w:r w:rsidRPr="009974B4">
        <w:rPr>
          <w:rFonts w:ascii="Times New Roman" w:eastAsia="Times New Roman" w:hAnsi="Times New Roman" w:cs="Times New Roman"/>
          <w:bCs/>
          <w:i/>
          <w:iCs/>
          <w:sz w:val="24"/>
          <w:szCs w:val="24"/>
        </w:rPr>
        <w:t>Dissolved Oxygen</w:t>
      </w:r>
    </w:p>
    <w:p w14:paraId="0B082E6B" w14:textId="052C0D19"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Dissolved oxygen (DO) is a measure of how much oxygen is in a waterbody. Oxygen is required by aquatic organisms and is created through photosynthesis by plants. Because photosynthesis needs sunlight in order for the reaction to occur, deeper parts of lakes are less reactive. Dissolved oxygen profiles provide an indication of lake stratification. </w:t>
      </w:r>
      <w:r w:rsidR="00D20D5A">
        <w:rPr>
          <w:rFonts w:ascii="Times New Roman" w:eastAsia="Times New Roman" w:hAnsi="Times New Roman" w:cs="Times New Roman"/>
          <w:sz w:val="24"/>
          <w:szCs w:val="24"/>
        </w:rPr>
        <w:t xml:space="preserve">Dissolved oxygen profiles measurements have been recorded from the lakes since 2002. </w:t>
      </w:r>
      <w:r>
        <w:rPr>
          <w:rFonts w:ascii="Times New Roman" w:eastAsia="Times New Roman" w:hAnsi="Times New Roman" w:cs="Times New Roman"/>
          <w:sz w:val="24"/>
          <w:szCs w:val="24"/>
        </w:rPr>
        <w:t>As the 2018 management plan explains in detail, there are three distinct zones of lake stratified occurring during summer months. The epilimnion is the layer at the surface which generally has warmer water. The hypolimnion is the layer at the bottom of a lake, which is cooler and less oxygenated. And finally, the thermocline is the middle layer where the lake water transitions from the epilimnion to hypolimnion.</w:t>
      </w:r>
      <w:r w:rsidR="00D20D5A">
        <w:rPr>
          <w:rFonts w:ascii="Times New Roman" w:eastAsia="Times New Roman" w:hAnsi="Times New Roman" w:cs="Times New Roman"/>
          <w:sz w:val="24"/>
          <w:szCs w:val="24"/>
        </w:rPr>
        <w:t xml:space="preserve"> </w:t>
      </w:r>
    </w:p>
    <w:p w14:paraId="53E9696E" w14:textId="5D930E54"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2021, North Pipe Lake had a dissolved oxygen concentration of 9.93 mg/L at the surface in July, which decreased down to 7.2 mg/L by the end of October. Pipe lake had a dissolved oxygen concentration of 8.48 mg/L at the surface in July, which then only decreased a small amount to 8.37 mg/L by the end of October. </w:t>
      </w:r>
      <w:r w:rsidR="007135D8">
        <w:rPr>
          <w:rFonts w:ascii="Times New Roman" w:eastAsia="Times New Roman" w:hAnsi="Times New Roman" w:cs="Times New Roman"/>
          <w:sz w:val="24"/>
          <w:szCs w:val="24"/>
        </w:rPr>
        <w:t xml:space="preserve">According to the first graph below, North Pipe Lake had a larger amount of oxygen at the surface than Pipe Lake between July and August but then less in September and October. </w:t>
      </w:r>
      <w:r>
        <w:rPr>
          <w:rFonts w:ascii="Times New Roman" w:eastAsia="Times New Roman" w:hAnsi="Times New Roman" w:cs="Times New Roman"/>
          <w:sz w:val="24"/>
          <w:szCs w:val="24"/>
        </w:rPr>
        <w:t>Dissolved oxygen concentrations at the surface are more variable in North Pipe Lake compared to Pipe Lake. For both lakes, the thermoclines visibly lowered in depth and smoothened out over the summer months.</w:t>
      </w:r>
    </w:p>
    <w:p w14:paraId="032F90DD" w14:textId="05D3AC44" w:rsidR="00D20D5A" w:rsidRDefault="007135D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looking at one month at a time, you can better compare oxygen profiles over the course of different years for each lake. In the month of August for Pipe Lake, 2021 recorded the highest average oxygen level at the surface between 2017 and 2021 while 2019 recorded the lowest. Likewise for North Pipe Lake in the month of </w:t>
      </w:r>
      <w:r w:rsidR="00121B99">
        <w:rPr>
          <w:rFonts w:ascii="Times New Roman" w:eastAsia="Times New Roman" w:hAnsi="Times New Roman" w:cs="Times New Roman"/>
          <w:sz w:val="24"/>
          <w:szCs w:val="24"/>
        </w:rPr>
        <w:t>August</w:t>
      </w:r>
      <w:r>
        <w:rPr>
          <w:rFonts w:ascii="Times New Roman" w:eastAsia="Times New Roman" w:hAnsi="Times New Roman" w:cs="Times New Roman"/>
          <w:sz w:val="24"/>
          <w:szCs w:val="24"/>
        </w:rPr>
        <w:t xml:space="preserve"> 2021 also had the highest average oxygen level at the surface</w:t>
      </w:r>
      <w:r w:rsidR="00031BA9">
        <w:rPr>
          <w:rFonts w:ascii="Times New Roman" w:eastAsia="Times New Roman" w:hAnsi="Times New Roman" w:cs="Times New Roman"/>
          <w:sz w:val="24"/>
          <w:szCs w:val="24"/>
        </w:rPr>
        <w:t xml:space="preserve">, while the lowest was in 2020. </w:t>
      </w:r>
    </w:p>
    <w:p w14:paraId="1CECECBB" w14:textId="74DD2AFC" w:rsidR="00031BA9" w:rsidRDefault="00031BA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thermocline is at a shorter depth from surface for North Pipe Lake than Pipe Lake because the lake depth for North Pipe Lake is smaller.</w:t>
      </w:r>
    </w:p>
    <w:p w14:paraId="3C7E8165"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thermocline data:</w:t>
      </w:r>
    </w:p>
    <w:p w14:paraId="5C36D0C3"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16A949AA" wp14:editId="363E5533">
            <wp:extent cx="5676900" cy="295656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F3B736" w14:textId="60016954" w:rsidR="00670615" w:rsidRDefault="00D20D5A">
      <w:pPr>
        <w:jc w:val="center"/>
        <w:rPr>
          <w:rFonts w:ascii="Times New Roman" w:eastAsia="Times New Roman" w:hAnsi="Times New Roman" w:cs="Times New Roman"/>
          <w:sz w:val="24"/>
          <w:szCs w:val="24"/>
        </w:rPr>
      </w:pPr>
      <w:r>
        <w:rPr>
          <w:noProof/>
        </w:rPr>
        <w:drawing>
          <wp:inline distT="0" distB="0" distL="0" distR="0" wp14:anchorId="3132AA43" wp14:editId="0449DA07">
            <wp:extent cx="4566204" cy="2785412"/>
            <wp:effectExtent l="0" t="0" r="6350" b="0"/>
            <wp:docPr id="2" name="Chart 2">
              <a:extLst xmlns:a="http://schemas.openxmlformats.org/drawingml/2006/main">
                <a:ext uri="{FF2B5EF4-FFF2-40B4-BE49-F238E27FC236}">
                  <a16:creationId xmlns:a16="http://schemas.microsoft.com/office/drawing/2014/main" id="{00000000-0008-0000-05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C85B72"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62A91C30" wp14:editId="6B047704">
            <wp:extent cx="4565650" cy="2705100"/>
            <wp:effectExtent l="0" t="0" r="635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81F308F" w14:textId="52DF7F3C" w:rsidR="00670615" w:rsidRPr="006A1F0A"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Figure </w:t>
      </w:r>
      <w:r w:rsidR="003518D6">
        <w:rPr>
          <w:rFonts w:ascii="Times New Roman" w:eastAsia="Times New Roman" w:hAnsi="Times New Roman" w:cs="Times New Roman"/>
          <w:i/>
          <w:sz w:val="24"/>
          <w:szCs w:val="24"/>
        </w:rPr>
        <w:t>10</w:t>
      </w:r>
      <w:r>
        <w:rPr>
          <w:rFonts w:ascii="Times New Roman" w:eastAsia="Times New Roman" w:hAnsi="Times New Roman" w:cs="Times New Roman"/>
          <w:i/>
          <w:sz w:val="24"/>
          <w:szCs w:val="24"/>
        </w:rPr>
        <w:t>. A plot of DO data collected in Pipe and North Pipe Lakes during the summer of 2021 and several years for each separate lake. Note the contrast between lakes and years compared to the 2021 data.</w:t>
      </w:r>
    </w:p>
    <w:p w14:paraId="4F96A3DB" w14:textId="77777777" w:rsidR="00670615" w:rsidRPr="009974B4" w:rsidRDefault="009974B4">
      <w:pPr>
        <w:rPr>
          <w:rFonts w:ascii="Times New Roman" w:eastAsia="Times New Roman" w:hAnsi="Times New Roman" w:cs="Times New Roman"/>
          <w:b/>
          <w:bCs/>
          <w:sz w:val="24"/>
          <w:szCs w:val="24"/>
        </w:rPr>
      </w:pPr>
      <w:r w:rsidRPr="009974B4">
        <w:rPr>
          <w:rFonts w:ascii="Times New Roman" w:eastAsia="Times New Roman" w:hAnsi="Times New Roman" w:cs="Times New Roman"/>
          <w:b/>
          <w:bCs/>
          <w:sz w:val="24"/>
          <w:szCs w:val="24"/>
        </w:rPr>
        <w:t xml:space="preserve">Infiltration and soil compaction measurements along Pipe and North Pipe Lake shorelands </w:t>
      </w:r>
    </w:p>
    <w:p w14:paraId="6118F474"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Nutrient loading into North Pipe and Pipe Lakes has been a concern of the lake residents for several years, prompting several past studies and lake management plans. In 2014, North Pipe Lake was listed as an impaired water for recreation due to an unknown pollutant causing excess algae growth, while Pipe Lake was listed for fish consumption. In the 2009 5-Year Lake Protection Action Plan, for Pipe and North Pipe Lakes, the authors indicated that the data gathered prior suggests that phosphorus was most likely the regulating factor for water clarity for the lakes. The authors also found that Pipe Lake may be more at-risk to phosphorus runoff sensitivity then North Pipe Lake. The reason for this is because the ratio of watershed land to lake area for Pipe Lake is 7 to 1, while the ratio for North Pipe Lake is 17 to 1. </w:t>
      </w:r>
    </w:p>
    <w:p w14:paraId="1566F590"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Good soil infiltration is one of the primary ways to reduce nutrient runoff into water bodies. Some of the most effective ways to increase soil infiltration rates are to improve surface ground cover and the amount of continuous plant roots that extend deeper than a few centimeters.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Recommendations to improve surrounding shoreland and implement residential best management practices for water infiltration and diversion were part of the 2009 planned management actions. According to the 2018, 5-Year Pipe and North Pipe Lakes Management Plan, several best management practices (BMPs) were suggested to lake residents. Many BMPs were installed, including native planting, rock infiltration, and rain gardens. Numerous surveys conducted with residents around the lakes indicated that more residents were interested in learning about monitoring invasive species and water quality than installing BMPs. This study has sought to gather data to help educate landowners about BMPs applied on their own shoreland may help maintain and possibly improve the lake water clarity in wet runoff years.</w:t>
      </w:r>
    </w:p>
    <w:p w14:paraId="29E74C9C"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Soil infiltration rates differ depending on land use. Undisturbed land such as wetlands and forests are often associated with higher infiltration rates than disturbed land, which include lawns and tilled agricultural fields. Designed vegetation cover can promote more rainfall infiltration, because deeper and more connected roots create macropores that allow for more infiltration to occur than shallow rooted plants. According to the 2018 management plan, 68% of land use in the North Pipe Lake watershed was forest, while 41% was mapped as forest in the Pipe Lake Watershed. Forested land use was the largest land use for both watersheds providing good coverage to limit soil erosion from water droplet impact. </w:t>
      </w:r>
    </w:p>
    <w:p w14:paraId="365086D3" w14:textId="7F3B4CED" w:rsidR="00CF1069" w:rsidRDefault="00CF1069" w:rsidP="00CF1069">
      <w:pPr>
        <w:rPr>
          <w:rFonts w:ascii="Times New Roman" w:hAnsi="Times New Roman" w:cs="Times New Roman"/>
          <w:sz w:val="24"/>
          <w:szCs w:val="24"/>
        </w:rPr>
      </w:pPr>
      <w:r w:rsidRPr="009F372E">
        <w:rPr>
          <w:rFonts w:ascii="Times New Roman" w:hAnsi="Times New Roman" w:cs="Times New Roman"/>
          <w:sz w:val="24"/>
          <w:szCs w:val="24"/>
        </w:rPr>
        <w:t xml:space="preserve">In 2019, a tornado and high winds destroyed many trees </w:t>
      </w:r>
      <w:r>
        <w:rPr>
          <w:rFonts w:ascii="Times New Roman" w:hAnsi="Times New Roman" w:cs="Times New Roman"/>
          <w:sz w:val="24"/>
          <w:szCs w:val="24"/>
        </w:rPr>
        <w:t xml:space="preserve">within the Pipe and </w:t>
      </w:r>
      <w:r w:rsidRPr="009F372E">
        <w:rPr>
          <w:rFonts w:ascii="Times New Roman" w:hAnsi="Times New Roman" w:cs="Times New Roman"/>
          <w:sz w:val="24"/>
          <w:szCs w:val="24"/>
        </w:rPr>
        <w:t>North Pipe</w:t>
      </w:r>
      <w:r>
        <w:rPr>
          <w:rFonts w:ascii="Times New Roman" w:hAnsi="Times New Roman" w:cs="Times New Roman"/>
          <w:sz w:val="24"/>
          <w:szCs w:val="24"/>
        </w:rPr>
        <w:t xml:space="preserve"> </w:t>
      </w:r>
      <w:r w:rsidRPr="009F372E">
        <w:rPr>
          <w:rFonts w:ascii="Times New Roman" w:hAnsi="Times New Roman" w:cs="Times New Roman"/>
          <w:sz w:val="24"/>
          <w:szCs w:val="24"/>
        </w:rPr>
        <w:t>Lake</w:t>
      </w:r>
      <w:r>
        <w:rPr>
          <w:rFonts w:ascii="Times New Roman" w:hAnsi="Times New Roman" w:cs="Times New Roman"/>
          <w:sz w:val="24"/>
          <w:szCs w:val="24"/>
        </w:rPr>
        <w:t xml:space="preserve"> watersheds</w:t>
      </w:r>
      <w:r w:rsidRPr="009F372E">
        <w:rPr>
          <w:rFonts w:ascii="Times New Roman" w:hAnsi="Times New Roman" w:cs="Times New Roman"/>
          <w:sz w:val="24"/>
          <w:szCs w:val="24"/>
        </w:rPr>
        <w:t xml:space="preserve">. </w:t>
      </w:r>
      <w:r>
        <w:rPr>
          <w:rFonts w:ascii="Times New Roman" w:hAnsi="Times New Roman" w:cs="Times New Roman"/>
          <w:sz w:val="24"/>
          <w:szCs w:val="24"/>
        </w:rPr>
        <w:t>Information from the USGS Landsat 8 satellite suggests a major shift form a deciduous forest landscape to one that is more dominated by grasslands and a shrub/scrub system (Figure 10). This may take the watershed years to recover from and continued monitoring is imperative.</w:t>
      </w:r>
      <w:r w:rsidRPr="009F372E">
        <w:rPr>
          <w:rFonts w:ascii="Times New Roman" w:hAnsi="Times New Roman" w:cs="Times New Roman"/>
          <w:sz w:val="24"/>
          <w:szCs w:val="24"/>
        </w:rPr>
        <w:t xml:space="preserve"> Because of the large loss of trees from the extreme weather event and </w:t>
      </w:r>
      <w:r>
        <w:rPr>
          <w:rFonts w:ascii="Times New Roman" w:hAnsi="Times New Roman" w:cs="Times New Roman"/>
          <w:sz w:val="24"/>
          <w:szCs w:val="24"/>
        </w:rPr>
        <w:t xml:space="preserve">post-event </w:t>
      </w:r>
      <w:r w:rsidRPr="009F372E">
        <w:rPr>
          <w:rFonts w:ascii="Times New Roman" w:hAnsi="Times New Roman" w:cs="Times New Roman"/>
          <w:sz w:val="24"/>
          <w:szCs w:val="24"/>
        </w:rPr>
        <w:t>logging, promoting</w:t>
      </w:r>
      <w:r>
        <w:rPr>
          <w:rFonts w:ascii="Times New Roman" w:hAnsi="Times New Roman" w:cs="Times New Roman"/>
          <w:sz w:val="24"/>
          <w:szCs w:val="24"/>
        </w:rPr>
        <w:t xml:space="preserve"> BMP</w:t>
      </w:r>
      <w:r w:rsidRPr="009F372E">
        <w:rPr>
          <w:rFonts w:ascii="Times New Roman" w:hAnsi="Times New Roman" w:cs="Times New Roman"/>
          <w:sz w:val="24"/>
          <w:szCs w:val="24"/>
        </w:rPr>
        <w:t xml:space="preserve">s along lake shoreland is more important than ever. </w:t>
      </w:r>
    </w:p>
    <w:p w14:paraId="3BC8539D" w14:textId="524140FC" w:rsidR="00CF1069" w:rsidRPr="00CF1069" w:rsidRDefault="00CF1069" w:rsidP="00CF1069">
      <w:pPr>
        <w:rPr>
          <w:rFonts w:ascii="Times New Roman" w:hAnsi="Times New Roman" w:cs="Times New Roman"/>
          <w:sz w:val="24"/>
          <w:szCs w:val="24"/>
        </w:rPr>
      </w:pPr>
      <w:r>
        <w:rPr>
          <w:noProof/>
        </w:rPr>
        <w:drawing>
          <wp:inline distT="0" distB="0" distL="0" distR="0" wp14:anchorId="2C66DF30" wp14:editId="08561DE2">
            <wp:extent cx="5943600" cy="3495675"/>
            <wp:effectExtent l="0" t="0" r="0" b="952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9"/>
                    <a:stretch>
                      <a:fillRect/>
                    </a:stretch>
                  </pic:blipFill>
                  <pic:spPr>
                    <a:xfrm>
                      <a:off x="0" y="0"/>
                      <a:ext cx="5943600" cy="3495675"/>
                    </a:xfrm>
                    <a:prstGeom prst="rect">
                      <a:avLst/>
                    </a:prstGeom>
                  </pic:spPr>
                </pic:pic>
              </a:graphicData>
            </a:graphic>
          </wp:inline>
        </w:drawing>
      </w:r>
    </w:p>
    <w:p w14:paraId="63759A46" w14:textId="0284192B" w:rsidR="00CF1069" w:rsidRPr="008B00BF" w:rsidRDefault="00CF1069" w:rsidP="00CF1069">
      <w:pPr>
        <w:rPr>
          <w:rFonts w:ascii="Times New Roman" w:hAnsi="Times New Roman" w:cs="Times New Roman"/>
          <w:i/>
          <w:iCs/>
          <w:sz w:val="24"/>
          <w:szCs w:val="24"/>
        </w:rPr>
      </w:pPr>
      <w:r w:rsidRPr="008B00BF">
        <w:rPr>
          <w:rFonts w:ascii="Times New Roman" w:hAnsi="Times New Roman" w:cs="Times New Roman"/>
          <w:i/>
          <w:iCs/>
          <w:sz w:val="24"/>
          <w:szCs w:val="24"/>
        </w:rPr>
        <w:t xml:space="preserve">Figure </w:t>
      </w:r>
      <w:r>
        <w:rPr>
          <w:rFonts w:ascii="Times New Roman" w:hAnsi="Times New Roman" w:cs="Times New Roman"/>
          <w:i/>
          <w:iCs/>
          <w:sz w:val="24"/>
          <w:szCs w:val="24"/>
        </w:rPr>
        <w:t>1</w:t>
      </w:r>
      <w:r w:rsidR="003518D6">
        <w:rPr>
          <w:rFonts w:ascii="Times New Roman" w:hAnsi="Times New Roman" w:cs="Times New Roman"/>
          <w:i/>
          <w:iCs/>
          <w:sz w:val="24"/>
          <w:szCs w:val="24"/>
        </w:rPr>
        <w:t>1</w:t>
      </w:r>
      <w:r w:rsidRPr="008B00BF">
        <w:rPr>
          <w:rFonts w:ascii="Times New Roman" w:hAnsi="Times New Roman" w:cs="Times New Roman"/>
          <w:i/>
          <w:iCs/>
          <w:sz w:val="24"/>
          <w:szCs w:val="24"/>
        </w:rPr>
        <w:t xml:space="preserve">. </w:t>
      </w:r>
      <w:r>
        <w:rPr>
          <w:rFonts w:ascii="Times New Roman" w:hAnsi="Times New Roman" w:cs="Times New Roman"/>
          <w:i/>
          <w:iCs/>
          <w:sz w:val="24"/>
          <w:szCs w:val="24"/>
        </w:rPr>
        <w:t>Enhanced Vegetation Index images of the North Pipe and Pile Lake Watersheds from Landsat 8.</w:t>
      </w:r>
    </w:p>
    <w:p w14:paraId="35E6EDE6" w14:textId="275CE8A5"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Web Soil Survey (WSS) provides information about properties and suitability for use of soils across the United States. Soil infiltration can be related to the suitability for land surfaces to be turned into lawns, landscaping, and golf fairways. By looking at the results from the WSS in Figure 1</w:t>
      </w:r>
      <w:r w:rsidR="00CF1069">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you will notice that the majority of the Pipe and North Pipe Lake watersheds are either very limited (red) or somewhat limited (yellow) for the domestic landscapes. According to the WSS, ~ 70% of the North Pipe Lake watershed and 50% for Pipe Lake is considered very limited for development. Sandy loam is the primary soil texture found within the watersheds with stones and a low cation exchange capacity, suggesting less suitability for lawns. </w:t>
      </w:r>
    </w:p>
    <w:p w14:paraId="774171E2"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Normally we tend to think of “sandy’ as being more water conductive than “clay”. In general, this is true, but water infiltration is not just a function of soil texture. Structure and bulk density play an important role in water movement. Because the soil type is a sandy loam and not a pure sand, there is a portion of silt and clay mixed into the soil type. What the elder author of this report has learned over four decades is that silt and clay compacted with sand will limit downward movement of water. There are many “sandy” type soils in Wisconsin and Minnesota that were compacted by the last glaciation. Think of a mile of ice riding on top of the soil moving slowly over a long period of time. </w:t>
      </w:r>
    </w:p>
    <w:p w14:paraId="24BAE96F"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Have you ever wondered why there are so many small wetlands located high up in the watershed landscape? Some of these wetlands dried up in 2021, but the undisturbed wetland plants tell a long-term hydrologic story. This story is foundational to why there are so many little or even tiny hydrologic pathways to flow toward both Pipe and North Pipe Lakes. </w:t>
      </w:r>
    </w:p>
    <w:p w14:paraId="319A0464"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Besides suitability for use, the WSS also gives ratings for selected soil properties, including bulk density. Bulk density is a measurement of soil compaction. Soils with bulk density values higher than 1.4 g cm</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often have problems with root penetration and lower water holding capacities since the pore space is smaller. The bulk density graphs are shown in Figures 12 and 13. The soil rating colors are as followed; red </w:t>
      </w:r>
      <w:r>
        <w:rPr>
          <w:rFonts w:ascii="Times New Roman" w:eastAsia="Times New Roman" w:hAnsi="Times New Roman" w:cs="Times New Roman"/>
          <w:sz w:val="24"/>
          <w:szCs w:val="24"/>
          <w:u w:val="single"/>
        </w:rPr>
        <w:t>&lt;</w:t>
      </w:r>
      <w:r>
        <w:rPr>
          <w:rFonts w:ascii="Times New Roman" w:eastAsia="Times New Roman" w:hAnsi="Times New Roman" w:cs="Times New Roman"/>
          <w:sz w:val="24"/>
          <w:szCs w:val="24"/>
        </w:rPr>
        <w:t xml:space="preserve"> 0.18, orange &gt; 0.18 and </w:t>
      </w:r>
      <w:r>
        <w:rPr>
          <w:rFonts w:ascii="Times New Roman" w:eastAsia="Times New Roman" w:hAnsi="Times New Roman" w:cs="Times New Roman"/>
          <w:sz w:val="24"/>
          <w:szCs w:val="24"/>
          <w:u w:val="single"/>
        </w:rPr>
        <w:t>&lt;</w:t>
      </w:r>
      <w:r>
        <w:rPr>
          <w:rFonts w:ascii="Times New Roman" w:eastAsia="Times New Roman" w:hAnsi="Times New Roman" w:cs="Times New Roman"/>
          <w:sz w:val="24"/>
          <w:szCs w:val="24"/>
        </w:rPr>
        <w:t xml:space="preserve"> 0.38, green &gt; 0.38 and </w:t>
      </w:r>
      <w:r>
        <w:rPr>
          <w:rFonts w:ascii="Times New Roman" w:eastAsia="Times New Roman" w:hAnsi="Times New Roman" w:cs="Times New Roman"/>
          <w:sz w:val="24"/>
          <w:szCs w:val="24"/>
          <w:u w:val="single"/>
        </w:rPr>
        <w:t>&lt;</w:t>
      </w:r>
      <w:r>
        <w:rPr>
          <w:rFonts w:ascii="Times New Roman" w:eastAsia="Times New Roman" w:hAnsi="Times New Roman" w:cs="Times New Roman"/>
          <w:sz w:val="24"/>
          <w:szCs w:val="24"/>
        </w:rPr>
        <w:t xml:space="preserve"> 1.5, light blue &gt; 1.5 and </w:t>
      </w:r>
      <w:r>
        <w:rPr>
          <w:rFonts w:ascii="Times New Roman" w:eastAsia="Times New Roman" w:hAnsi="Times New Roman" w:cs="Times New Roman"/>
          <w:sz w:val="24"/>
          <w:szCs w:val="24"/>
          <w:u w:val="single"/>
        </w:rPr>
        <w:t>&lt;</w:t>
      </w:r>
      <w:r>
        <w:rPr>
          <w:rFonts w:ascii="Times New Roman" w:eastAsia="Times New Roman" w:hAnsi="Times New Roman" w:cs="Times New Roman"/>
          <w:sz w:val="24"/>
          <w:szCs w:val="24"/>
        </w:rPr>
        <w:t xml:space="preserve"> 1.64, and dark blue &gt; 1.64 and </w:t>
      </w:r>
      <w:r>
        <w:rPr>
          <w:rFonts w:ascii="Times New Roman" w:eastAsia="Times New Roman" w:hAnsi="Times New Roman" w:cs="Times New Roman"/>
          <w:sz w:val="24"/>
          <w:szCs w:val="24"/>
          <w:u w:val="single"/>
        </w:rPr>
        <w:t>&lt;</w:t>
      </w:r>
      <w:r>
        <w:rPr>
          <w:rFonts w:ascii="Times New Roman" w:eastAsia="Times New Roman" w:hAnsi="Times New Roman" w:cs="Times New Roman"/>
          <w:sz w:val="24"/>
          <w:szCs w:val="24"/>
        </w:rPr>
        <w:t xml:space="preserve"> 1.7. From the graphs, the majority of the soils around Pipe and North Pipe Lakes are implied to have bulk densities larger than 1.4 g cm</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w:t>
      </w:r>
    </w:p>
    <w:p w14:paraId="7CA74B96"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While bulk density can be determined by taking a soil sample and dividing the dry soil weight by the soil volume, there are other ways to infer soil compaction based on “</w:t>
      </w:r>
      <w:r w:rsidRPr="00965F2D">
        <w:rPr>
          <w:rFonts w:ascii="Times New Roman" w:eastAsia="Times New Roman" w:hAnsi="Times New Roman" w:cs="Times New Roman"/>
          <w:i/>
          <w:iCs/>
          <w:sz w:val="24"/>
          <w:szCs w:val="24"/>
        </w:rPr>
        <w:t>in-situ</w:t>
      </w:r>
      <w:r>
        <w:rPr>
          <w:rFonts w:ascii="Times New Roman" w:eastAsia="Times New Roman" w:hAnsi="Times New Roman" w:cs="Times New Roman"/>
          <w:sz w:val="24"/>
          <w:szCs w:val="24"/>
        </w:rPr>
        <w:t>” field measurements. Penetrometers can measure soil resistance by pushing a metal rod down through the soil profile. Soil resistance is recorded and used to calculate the “California Bearing Ratio”, which estimates soil bearing strength or shear resistance. Both of these parameters were used around both lakes to infer soil compaction.</w:t>
      </w:r>
    </w:p>
    <w:p w14:paraId="390BC2D6"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SATURO dual head infiltrometer and the dynamic cone penetrometer were used at selected lake home properties around both lakes to validate WSS data.</w:t>
      </w:r>
    </w:p>
    <w:p w14:paraId="133E63A3" w14:textId="77777777" w:rsidR="00670615" w:rsidRDefault="00670615">
      <w:pPr>
        <w:rPr>
          <w:rFonts w:ascii="Times New Roman" w:eastAsia="Times New Roman" w:hAnsi="Times New Roman" w:cs="Times New Roman"/>
          <w:sz w:val="24"/>
          <w:szCs w:val="24"/>
        </w:rPr>
      </w:pPr>
    </w:p>
    <w:p w14:paraId="5B811A29" w14:textId="77777777" w:rsidR="00670615" w:rsidRDefault="00670615">
      <w:pPr>
        <w:rPr>
          <w:rFonts w:ascii="Times New Roman" w:eastAsia="Times New Roman" w:hAnsi="Times New Roman" w:cs="Times New Roman"/>
          <w:sz w:val="24"/>
          <w:szCs w:val="24"/>
        </w:rPr>
      </w:pPr>
    </w:p>
    <w:p w14:paraId="02D58EB5" w14:textId="77777777" w:rsidR="00670615" w:rsidRDefault="009974B4">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53F857" wp14:editId="1939F68A">
            <wp:extent cx="2804160" cy="3764280"/>
            <wp:effectExtent l="0" t="0" r="0" b="7620"/>
            <wp:docPr id="44" name="image6.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Map&#10;&#10;Description automatically generated"/>
                    <pic:cNvPicPr preferRelativeResize="0"/>
                  </pic:nvPicPr>
                  <pic:blipFill>
                    <a:blip r:embed="rId20"/>
                    <a:srcRect/>
                    <a:stretch>
                      <a:fillRect/>
                    </a:stretch>
                  </pic:blipFill>
                  <pic:spPr>
                    <a:xfrm>
                      <a:off x="0" y="0"/>
                      <a:ext cx="2804482" cy="3764712"/>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5399BFFD" wp14:editId="4C671ECE">
            <wp:extent cx="2834477" cy="3833813"/>
            <wp:effectExtent l="0" t="0" r="0" b="0"/>
            <wp:docPr id="41" name="image7.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Map&#10;&#10;Description automatically generated"/>
                    <pic:cNvPicPr preferRelativeResize="0"/>
                  </pic:nvPicPr>
                  <pic:blipFill>
                    <a:blip r:embed="rId21"/>
                    <a:srcRect/>
                    <a:stretch>
                      <a:fillRect/>
                    </a:stretch>
                  </pic:blipFill>
                  <pic:spPr>
                    <a:xfrm>
                      <a:off x="0" y="0"/>
                      <a:ext cx="2834477" cy="3833813"/>
                    </a:xfrm>
                    <a:prstGeom prst="rect">
                      <a:avLst/>
                    </a:prstGeom>
                    <a:ln/>
                  </pic:spPr>
                </pic:pic>
              </a:graphicData>
            </a:graphic>
          </wp:inline>
        </w:drawing>
      </w:r>
    </w:p>
    <w:p w14:paraId="55D07A3D" w14:textId="569C3923"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w:t>
      </w:r>
      <w:r w:rsidR="003518D6">
        <w:rPr>
          <w:rFonts w:ascii="Times New Roman" w:eastAsia="Times New Roman" w:hAnsi="Times New Roman" w:cs="Times New Roman"/>
          <w:i/>
          <w:sz w:val="24"/>
          <w:szCs w:val="24"/>
        </w:rPr>
        <w:t>2</w:t>
      </w:r>
      <w:r>
        <w:rPr>
          <w:rFonts w:ascii="Times New Roman" w:eastAsia="Times New Roman" w:hAnsi="Times New Roman" w:cs="Times New Roman"/>
          <w:i/>
          <w:sz w:val="24"/>
          <w:szCs w:val="24"/>
        </w:rPr>
        <w:t>. A map showing the Web Soil Survey land use suitability</w:t>
      </w:r>
      <w:r w:rsidR="00121B99">
        <w:rPr>
          <w:rFonts w:ascii="Times New Roman" w:eastAsia="Times New Roman" w:hAnsi="Times New Roman" w:cs="Times New Roman"/>
          <w:i/>
          <w:sz w:val="24"/>
          <w:szCs w:val="24"/>
        </w:rPr>
        <w:t xml:space="preserve">. </w:t>
      </w:r>
    </w:p>
    <w:p w14:paraId="39EE50C0" w14:textId="77777777" w:rsidR="00670615" w:rsidRDefault="009974B4">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15B322" wp14:editId="39B9414F">
            <wp:extent cx="3681345" cy="2544195"/>
            <wp:effectExtent l="0" t="2857" r="0" b="0"/>
            <wp:docPr id="45" name="image4.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Map&#10;&#10;Description automatically generated"/>
                    <pic:cNvPicPr preferRelativeResize="0"/>
                  </pic:nvPicPr>
                  <pic:blipFill>
                    <a:blip r:embed="rId22"/>
                    <a:srcRect/>
                    <a:stretch>
                      <a:fillRect/>
                    </a:stretch>
                  </pic:blipFill>
                  <pic:spPr>
                    <a:xfrm rot="16200000">
                      <a:off x="0" y="0"/>
                      <a:ext cx="3687067" cy="254815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14:anchorId="7D1DC7DA" wp14:editId="11B3F7AD">
            <wp:extent cx="3688880" cy="2612865"/>
            <wp:effectExtent l="4763" t="0" r="0" b="0"/>
            <wp:docPr id="46" name="image8.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Map&#10;&#10;Description automatically generated"/>
                    <pic:cNvPicPr preferRelativeResize="0"/>
                  </pic:nvPicPr>
                  <pic:blipFill>
                    <a:blip r:embed="rId23"/>
                    <a:srcRect/>
                    <a:stretch>
                      <a:fillRect/>
                    </a:stretch>
                  </pic:blipFill>
                  <pic:spPr>
                    <a:xfrm rot="16200000">
                      <a:off x="0" y="0"/>
                      <a:ext cx="3692632" cy="2615522"/>
                    </a:xfrm>
                    <a:prstGeom prst="rect">
                      <a:avLst/>
                    </a:prstGeom>
                    <a:ln/>
                  </pic:spPr>
                </pic:pic>
              </a:graphicData>
            </a:graphic>
          </wp:inline>
        </w:drawing>
      </w:r>
    </w:p>
    <w:p w14:paraId="069CB763" w14:textId="22A2D0BC"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w:t>
      </w:r>
      <w:r w:rsidR="003518D6">
        <w:rPr>
          <w:rFonts w:ascii="Times New Roman" w:eastAsia="Times New Roman" w:hAnsi="Times New Roman" w:cs="Times New Roman"/>
          <w:i/>
          <w:sz w:val="24"/>
          <w:szCs w:val="24"/>
        </w:rPr>
        <w:t>3</w:t>
      </w:r>
      <w:r>
        <w:rPr>
          <w:rFonts w:ascii="Times New Roman" w:eastAsia="Times New Roman" w:hAnsi="Times New Roman" w:cs="Times New Roman"/>
          <w:i/>
          <w:sz w:val="24"/>
          <w:szCs w:val="24"/>
        </w:rPr>
        <w:t>. Maps showing codes for WSS soil types.</w:t>
      </w:r>
    </w:p>
    <w:p w14:paraId="4533F814"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Methods:</w:t>
      </w:r>
    </w:p>
    <w:p w14:paraId="75C0EA0F" w14:textId="00168A3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SATURO dual head infiltrometers were used at eight different properties around the </w:t>
      </w:r>
      <w:r w:rsidR="00965F2D">
        <w:rPr>
          <w:rFonts w:ascii="Times New Roman" w:eastAsia="Times New Roman" w:hAnsi="Times New Roman" w:cs="Times New Roman"/>
          <w:sz w:val="24"/>
          <w:szCs w:val="24"/>
        </w:rPr>
        <w:t>lakes:</w:t>
      </w:r>
      <w:r>
        <w:rPr>
          <w:rFonts w:ascii="Times New Roman" w:eastAsia="Times New Roman" w:hAnsi="Times New Roman" w:cs="Times New Roman"/>
          <w:sz w:val="24"/>
          <w:szCs w:val="24"/>
        </w:rPr>
        <w:t xml:space="preserve"> four on North Pipe Lake and four on Pipe Lake. At each property, three distinct infiltration sections were chosen for testing; upper ground, middle ground (often sloped), and lower ground (near shore). Each testing section had between two and five infiltration runs and the type of practice was determined - undisturbed or disturbed with lawn grass. In total, there were 41 infiltration tests taken around both lakes, results were then analyzed and interpreted. Dynamic cone penetrometer testing was applied at three of the same properties used for infiltration testing in the North Pipe Lake watershed to infer soil compaction below the surface soil. A total of nine penetrometer measurements were recorded, each having a total depth measurement ranging between 50-cm to 160-</w:t>
      </w:r>
      <w:r w:rsidR="00121B99">
        <w:rPr>
          <w:rFonts w:ascii="Times New Roman" w:eastAsia="Times New Roman" w:hAnsi="Times New Roman" w:cs="Times New Roman"/>
          <w:sz w:val="24"/>
          <w:szCs w:val="24"/>
        </w:rPr>
        <w:t xml:space="preserve">cm. </w:t>
      </w:r>
    </w:p>
    <w:p w14:paraId="04E036A4" w14:textId="7777777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Results:</w:t>
      </w:r>
    </w:p>
    <w:p w14:paraId="289CE85A"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Infiltration rates were higher for the properties studied along North Pipe Lake than Pipe Lake. However, soil and vegetation cover differed greatly between sites. Undisturbed sites had higher average infiltration rates than disturbed lawn grass sites. This result was expected, as native plants have deeper root systems than common lawn grasses with less developed root structure. </w:t>
      </w:r>
    </w:p>
    <w:p w14:paraId="268A9612"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757DE07C" wp14:editId="72343DA8">
            <wp:extent cx="5913120" cy="265176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DABEE0E" w14:textId="20ADC32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w:t>
      </w:r>
      <w:r w:rsidR="003518D6">
        <w:rPr>
          <w:rFonts w:ascii="Times New Roman" w:eastAsia="Times New Roman" w:hAnsi="Times New Roman" w:cs="Times New Roman"/>
          <w:i/>
          <w:sz w:val="24"/>
          <w:szCs w:val="24"/>
        </w:rPr>
        <w:t>4</w:t>
      </w:r>
      <w:r>
        <w:rPr>
          <w:rFonts w:ascii="Times New Roman" w:eastAsia="Times New Roman" w:hAnsi="Times New Roman" w:cs="Times New Roman"/>
          <w:i/>
          <w:sz w:val="24"/>
          <w:szCs w:val="24"/>
        </w:rPr>
        <w:t>. Bar graphs showing infiltration rates for disturbed and undisturbed test locations for each lake.</w:t>
      </w:r>
    </w:p>
    <w:p w14:paraId="37D86DCC"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73BFEB8C" wp14:editId="24BC4562">
            <wp:extent cx="5943600" cy="2692400"/>
            <wp:effectExtent l="0" t="0" r="0" b="0"/>
            <wp:docPr id="47" name="image3.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scatter chart&#10;&#10;Description automatically generated"/>
                    <pic:cNvPicPr preferRelativeResize="0"/>
                  </pic:nvPicPr>
                  <pic:blipFill>
                    <a:blip r:embed="rId25"/>
                    <a:srcRect/>
                    <a:stretch>
                      <a:fillRect/>
                    </a:stretch>
                  </pic:blipFill>
                  <pic:spPr>
                    <a:xfrm>
                      <a:off x="0" y="0"/>
                      <a:ext cx="5943600" cy="2692400"/>
                    </a:xfrm>
                    <a:prstGeom prst="rect">
                      <a:avLst/>
                    </a:prstGeom>
                    <a:ln/>
                  </pic:spPr>
                </pic:pic>
              </a:graphicData>
            </a:graphic>
          </wp:inline>
        </w:drawing>
      </w:r>
    </w:p>
    <w:p w14:paraId="04F8F55E" w14:textId="249AAF8F"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w:t>
      </w:r>
      <w:r w:rsidR="003518D6">
        <w:rPr>
          <w:rFonts w:ascii="Times New Roman" w:eastAsia="Times New Roman" w:hAnsi="Times New Roman" w:cs="Times New Roman"/>
          <w:i/>
          <w:sz w:val="24"/>
          <w:szCs w:val="24"/>
        </w:rPr>
        <w:t>5</w:t>
      </w:r>
      <w:r>
        <w:rPr>
          <w:rFonts w:ascii="Times New Roman" w:eastAsia="Times New Roman" w:hAnsi="Times New Roman" w:cs="Times New Roman"/>
          <w:i/>
          <w:sz w:val="24"/>
          <w:szCs w:val="24"/>
        </w:rPr>
        <w:t>. A plot of infiltration data collected for each lake and vegetation type.</w:t>
      </w:r>
    </w:p>
    <w:p w14:paraId="5DE9CAD9"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infiltration rates along North Pipe Lake are grouped together by vegetation, it is clear to see that the average infiltration rates for undisturbed sites are higher than for lawn grass sites, as seen in the graph below. The California Bearing Ratio (CBR) percent values that were calculated when using the dynamic cone penetrometer (DCP) were averaged and plotted alongside infiltration rates. According to the CBR test results, soil near the surface of the ground in turf grass lawns compared to undisturbed areas had higher compaction. The data appears to correlate well with the infiltration data; the more compacted the soil, the slower the infiltration rate. </w:t>
      </w:r>
    </w:p>
    <w:p w14:paraId="6D17CD68" w14:textId="77777777" w:rsidR="00670615" w:rsidRDefault="009974B4">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5BE8D40" wp14:editId="3194D3F2">
            <wp:extent cx="5943600" cy="299466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530022C" w14:textId="409BB2A7"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w:t>
      </w:r>
      <w:r w:rsidR="003518D6">
        <w:rPr>
          <w:rFonts w:ascii="Times New Roman" w:eastAsia="Times New Roman" w:hAnsi="Times New Roman" w:cs="Times New Roman"/>
          <w:i/>
          <w:sz w:val="24"/>
          <w:szCs w:val="24"/>
        </w:rPr>
        <w:t>6</w:t>
      </w:r>
      <w:r>
        <w:rPr>
          <w:rFonts w:ascii="Times New Roman" w:eastAsia="Times New Roman" w:hAnsi="Times New Roman" w:cs="Times New Roman"/>
          <w:i/>
          <w:sz w:val="24"/>
          <w:szCs w:val="24"/>
        </w:rPr>
        <w:t>. A plot of DCP CBR percent with depth vs SATURO infiltration rate showing differences between disturbed and undisturbed sites.</w:t>
      </w:r>
    </w:p>
    <w:p w14:paraId="5DD02155"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In the graph below, penetrometer CBR% results are plotted with infiltration results that were taken from the same property. In the legend, LG stands for lower ground, MG stands for middle ground, UG stands for upper ground, and UD stands for undisturbed. The infiltration runs on the turf grass had lower slower infiltration rates than infiltration runs on undisturbed areas. Regarding the DCP, CBR% data, the majority of the tests on the turf grass areas had higher compaction than the runs on the undisturbed areas. The data indicates that there are “harder” more compact layers in the soil profile at about 50 cm and 80 cm.</w:t>
      </w:r>
    </w:p>
    <w:p w14:paraId="149BA16F" w14:textId="77777777" w:rsidR="00670615" w:rsidRDefault="009974B4">
      <w:pPr>
        <w:jc w:val="center"/>
        <w:rPr>
          <w:rFonts w:ascii="Times New Roman" w:eastAsia="Times New Roman" w:hAnsi="Times New Roman" w:cs="Times New Roman"/>
          <w:sz w:val="24"/>
          <w:szCs w:val="24"/>
        </w:rPr>
      </w:pPr>
      <w:r>
        <w:rPr>
          <w:noProof/>
        </w:rPr>
        <w:drawing>
          <wp:inline distT="0" distB="0" distL="0" distR="0" wp14:anchorId="0F676FD8" wp14:editId="0E3A6420">
            <wp:extent cx="5996940" cy="4137660"/>
            <wp:effectExtent l="0" t="0" r="0" b="0"/>
            <wp:docPr id="48" name="image5.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10;&#10;Description automatically generated"/>
                    <pic:cNvPicPr preferRelativeResize="0"/>
                  </pic:nvPicPr>
                  <pic:blipFill>
                    <a:blip r:embed="rId27"/>
                    <a:srcRect/>
                    <a:stretch>
                      <a:fillRect/>
                    </a:stretch>
                  </pic:blipFill>
                  <pic:spPr>
                    <a:xfrm>
                      <a:off x="0" y="0"/>
                      <a:ext cx="5996940" cy="4137660"/>
                    </a:xfrm>
                    <a:prstGeom prst="rect">
                      <a:avLst/>
                    </a:prstGeom>
                    <a:ln/>
                  </pic:spPr>
                </pic:pic>
              </a:graphicData>
            </a:graphic>
          </wp:inline>
        </w:drawing>
      </w:r>
    </w:p>
    <w:p w14:paraId="318CD3DA" w14:textId="61664AD1" w:rsidR="00670615" w:rsidRDefault="009974B4">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w:t>
      </w:r>
      <w:r w:rsidR="003518D6">
        <w:rPr>
          <w:rFonts w:ascii="Times New Roman" w:eastAsia="Times New Roman" w:hAnsi="Times New Roman" w:cs="Times New Roman"/>
          <w:i/>
          <w:sz w:val="24"/>
          <w:szCs w:val="24"/>
        </w:rPr>
        <w:t>7</w:t>
      </w:r>
      <w:r>
        <w:rPr>
          <w:rFonts w:ascii="Times New Roman" w:eastAsia="Times New Roman" w:hAnsi="Times New Roman" w:cs="Times New Roman"/>
          <w:i/>
          <w:sz w:val="24"/>
          <w:szCs w:val="24"/>
        </w:rPr>
        <w:t xml:space="preserve">. Similar to Figure 15, colored bars show differences in infiltration by vegetation and the concordant CBR %. </w:t>
      </w:r>
    </w:p>
    <w:p w14:paraId="02A81257"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i/>
          <w:sz w:val="24"/>
          <w:szCs w:val="24"/>
        </w:rPr>
        <w:t>Discussion:</w:t>
      </w:r>
      <w:r>
        <w:rPr>
          <w:rFonts w:ascii="Times New Roman" w:eastAsia="Times New Roman" w:hAnsi="Times New Roman" w:cs="Times New Roman"/>
          <w:sz w:val="24"/>
          <w:szCs w:val="24"/>
        </w:rPr>
        <w:t xml:space="preserve"> </w:t>
      </w:r>
    </w:p>
    <w:p w14:paraId="04D4334E"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important goal for the Lake District is to decrease nutrient runoff into the lakes. While the 2009 and 2018 management plans sought to decrease the amount of nutrients transported into North Pipe Lake and increase water quality, the main objective for Pipe Lake was to prevent loss of current water quality. One way that lake property owners can help keep their lakes clean for future use is to help stop nutrient runoff flowing through their shoreland into the lake. The DCP data suggests that undisturbed land is less compacted than turf grass, which is most likely due to less lawn equipment compaction and deeper root systems associated with native plants. 40% of the infiltration tests conducted along Pipe and North Pipes Lake showed infiltration rates below 25 cm/hr. </w:t>
      </w:r>
    </w:p>
    <w:p w14:paraId="5BC0E472" w14:textId="77777777" w:rsidR="00670615" w:rsidRDefault="009974B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Ways to increase infiltration rates involve BMPs discussed above, such as creating rain gardens and planting native grass buffers along shorelines. A guidance document created by the USDA and Natural Resource Conservation Service, </w:t>
      </w:r>
      <w:hyperlink r:id="rId28">
        <w:r>
          <w:rPr>
            <w:rFonts w:ascii="Times New Roman" w:eastAsia="Times New Roman" w:hAnsi="Times New Roman" w:cs="Times New Roman"/>
            <w:i/>
            <w:color w:val="0563C1"/>
            <w:sz w:val="24"/>
            <w:szCs w:val="24"/>
            <w:u w:val="single"/>
          </w:rPr>
          <w:t>Wisconsin Biology Technical Note #1 – Shoreland Habitat</w:t>
        </w:r>
      </w:hyperlink>
      <w:r>
        <w:rPr>
          <w:rFonts w:ascii="Times New Roman" w:eastAsia="Times New Roman" w:hAnsi="Times New Roman" w:cs="Times New Roman"/>
          <w:sz w:val="24"/>
          <w:szCs w:val="24"/>
        </w:rPr>
        <w:t xml:space="preserve">, is a great resource for understanding how to create buffers and provides information on estimating a given landscape. Another great resource is the </w:t>
      </w:r>
      <w:hyperlink r:id="rId29">
        <w:r>
          <w:rPr>
            <w:rFonts w:ascii="Times New Roman" w:eastAsia="Times New Roman" w:hAnsi="Times New Roman" w:cs="Times New Roman"/>
            <w:i/>
            <w:color w:val="0563C1"/>
            <w:sz w:val="24"/>
            <w:szCs w:val="24"/>
            <w:u w:val="single"/>
          </w:rPr>
          <w:t>Shoreland Mitigation Handbook for Barron County, Wisconsin</w:t>
        </w:r>
      </w:hyperlink>
      <w:r>
        <w:rPr>
          <w:rFonts w:ascii="Times New Roman" w:eastAsia="Times New Roman" w:hAnsi="Times New Roman" w:cs="Times New Roman"/>
          <w:sz w:val="24"/>
          <w:szCs w:val="24"/>
        </w:rPr>
        <w:t xml:space="preserve">. This gives landowners information about great ways to restore lakeshores so that they function as well as they did before development occurred. </w:t>
      </w:r>
    </w:p>
    <w:p w14:paraId="6E01DED5" w14:textId="03418618" w:rsidR="00965F2D" w:rsidRPr="002A1BAB" w:rsidRDefault="00965F2D" w:rsidP="00965F2D">
      <w:pPr>
        <w:rPr>
          <w:rFonts w:ascii="Times New Roman" w:hAnsi="Times New Roman" w:cs="Times New Roman"/>
          <w:b/>
          <w:bCs/>
          <w:sz w:val="24"/>
          <w:szCs w:val="24"/>
        </w:rPr>
      </w:pPr>
      <w:r w:rsidRPr="002A1BAB">
        <w:rPr>
          <w:rFonts w:ascii="Times New Roman" w:hAnsi="Times New Roman" w:cs="Times New Roman"/>
          <w:b/>
          <w:bCs/>
          <w:sz w:val="24"/>
          <w:szCs w:val="24"/>
        </w:rPr>
        <w:t>Wisconsin Lake Modeling Suite (WiLMS)</w:t>
      </w:r>
    </w:p>
    <w:p w14:paraId="1330CE42" w14:textId="6A293F45" w:rsidR="00965F2D" w:rsidRPr="00597599" w:rsidRDefault="00965F2D" w:rsidP="00965F2D">
      <w:pPr>
        <w:rPr>
          <w:rFonts w:ascii="Times New Roman" w:hAnsi="Times New Roman" w:cs="Times New Roman"/>
          <w:sz w:val="24"/>
          <w:szCs w:val="24"/>
        </w:rPr>
      </w:pPr>
      <w:r>
        <w:rPr>
          <w:rFonts w:ascii="Times New Roman" w:hAnsi="Times New Roman" w:cs="Times New Roman"/>
          <w:sz w:val="24"/>
          <w:szCs w:val="24"/>
        </w:rPr>
        <w:t>Watershed modeling was completed using modules from the Wisconsin Lake Modeling Suite (WiLMS)</w:t>
      </w:r>
      <w:r w:rsidR="00121B99">
        <w:rPr>
          <w:rFonts w:ascii="Times New Roman" w:hAnsi="Times New Roman" w:cs="Times New Roman"/>
          <w:sz w:val="24"/>
          <w:szCs w:val="24"/>
        </w:rPr>
        <w:t xml:space="preserve">. </w:t>
      </w:r>
      <w:r>
        <w:rPr>
          <w:rFonts w:ascii="Times New Roman" w:hAnsi="Times New Roman" w:cs="Times New Roman"/>
          <w:sz w:val="24"/>
          <w:szCs w:val="24"/>
        </w:rPr>
        <w:t xml:space="preserve">Initial hydrologic and geomorphic data entered into the model compared to the monitored data in the lake suggest that changes in residence time due to </w:t>
      </w:r>
      <w:r w:rsidR="002A1BAB">
        <w:rPr>
          <w:rFonts w:ascii="Times New Roman" w:hAnsi="Times New Roman" w:cs="Times New Roman"/>
          <w:sz w:val="24"/>
          <w:szCs w:val="24"/>
        </w:rPr>
        <w:t>m</w:t>
      </w:r>
      <w:r>
        <w:rPr>
          <w:rFonts w:ascii="Times New Roman" w:hAnsi="Times New Roman" w:cs="Times New Roman"/>
          <w:sz w:val="24"/>
          <w:szCs w:val="24"/>
        </w:rPr>
        <w:t>ore prolific and intense storm events may be causing changes in water quality (Figure 16)</w:t>
      </w:r>
      <w:r w:rsidR="00121B99">
        <w:rPr>
          <w:rFonts w:ascii="Times New Roman" w:hAnsi="Times New Roman" w:cs="Times New Roman"/>
          <w:sz w:val="24"/>
          <w:szCs w:val="24"/>
        </w:rPr>
        <w:t xml:space="preserve">. </w:t>
      </w:r>
      <w:r>
        <w:rPr>
          <w:rFonts w:ascii="Times New Roman" w:hAnsi="Times New Roman" w:cs="Times New Roman"/>
          <w:sz w:val="24"/>
          <w:szCs w:val="24"/>
        </w:rPr>
        <w:t>When monitored precipitation data is inputted into the model and runoff is changed from year to year the areal loading from the North Pipe Lake watershed show</w:t>
      </w:r>
      <w:r w:rsidR="002A1BAB">
        <w:rPr>
          <w:rFonts w:ascii="Times New Roman" w:hAnsi="Times New Roman" w:cs="Times New Roman"/>
          <w:sz w:val="24"/>
          <w:szCs w:val="24"/>
        </w:rPr>
        <w:t>ed</w:t>
      </w:r>
      <w:r>
        <w:rPr>
          <w:rFonts w:ascii="Times New Roman" w:hAnsi="Times New Roman" w:cs="Times New Roman"/>
          <w:sz w:val="24"/>
          <w:szCs w:val="24"/>
        </w:rPr>
        <w:t xml:space="preserve"> no change as </w:t>
      </w:r>
      <w:r w:rsidR="002A1BAB">
        <w:rPr>
          <w:rFonts w:ascii="Times New Roman" w:hAnsi="Times New Roman" w:cs="Times New Roman"/>
          <w:sz w:val="24"/>
          <w:szCs w:val="24"/>
        </w:rPr>
        <w:t xml:space="preserve">the </w:t>
      </w:r>
      <w:r>
        <w:rPr>
          <w:rFonts w:ascii="Times New Roman" w:hAnsi="Times New Roman" w:cs="Times New Roman"/>
          <w:sz w:val="24"/>
          <w:szCs w:val="24"/>
        </w:rPr>
        <w:t xml:space="preserve">models </w:t>
      </w:r>
      <w:r w:rsidR="002A1BAB">
        <w:rPr>
          <w:rFonts w:ascii="Times New Roman" w:hAnsi="Times New Roman" w:cs="Times New Roman"/>
          <w:sz w:val="24"/>
          <w:szCs w:val="24"/>
        </w:rPr>
        <w:t>we</w:t>
      </w:r>
      <w:r>
        <w:rPr>
          <w:rFonts w:ascii="Times New Roman" w:hAnsi="Times New Roman" w:cs="Times New Roman"/>
          <w:sz w:val="24"/>
          <w:szCs w:val="24"/>
        </w:rPr>
        <w:t>re based on annual precipitation input.</w:t>
      </w:r>
    </w:p>
    <w:p w14:paraId="5265643C" w14:textId="77777777" w:rsidR="00965F2D" w:rsidRDefault="00965F2D" w:rsidP="00965F2D">
      <w:pPr>
        <w:jc w:val="center"/>
        <w:rPr>
          <w:rFonts w:ascii="Times New Roman" w:hAnsi="Times New Roman" w:cs="Times New Roman"/>
          <w:sz w:val="24"/>
          <w:szCs w:val="24"/>
        </w:rPr>
      </w:pPr>
      <w:r>
        <w:rPr>
          <w:noProof/>
        </w:rPr>
        <w:drawing>
          <wp:inline distT="0" distB="0" distL="0" distR="0" wp14:anchorId="11DE7741" wp14:editId="7A5C4A5B">
            <wp:extent cx="5572125" cy="3305175"/>
            <wp:effectExtent l="0" t="0" r="9525" b="9525"/>
            <wp:docPr id="5" name="Chart 5">
              <a:extLst xmlns:a="http://schemas.openxmlformats.org/drawingml/2006/main">
                <a:ext uri="{FF2B5EF4-FFF2-40B4-BE49-F238E27FC236}">
                  <a16:creationId xmlns:a16="http://schemas.microsoft.com/office/drawing/2014/main" id="{93226EAF-9A13-4357-AC34-4EA7E7ABC5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6C33CB9" w14:textId="4901B414" w:rsidR="00965F2D" w:rsidRPr="00114691" w:rsidRDefault="00965F2D" w:rsidP="00965F2D">
      <w:pPr>
        <w:rPr>
          <w:rFonts w:ascii="Times New Roman" w:hAnsi="Times New Roman" w:cs="Times New Roman"/>
          <w:i/>
          <w:iCs/>
          <w:sz w:val="24"/>
          <w:szCs w:val="24"/>
        </w:rPr>
      </w:pPr>
      <w:r w:rsidRPr="00526158">
        <w:rPr>
          <w:rFonts w:ascii="Times New Roman" w:hAnsi="Times New Roman" w:cs="Times New Roman"/>
          <w:i/>
          <w:iCs/>
          <w:sz w:val="24"/>
          <w:szCs w:val="24"/>
        </w:rPr>
        <w:t xml:space="preserve">Figure </w:t>
      </w:r>
      <w:r>
        <w:rPr>
          <w:rFonts w:ascii="Times New Roman" w:hAnsi="Times New Roman" w:cs="Times New Roman"/>
          <w:i/>
          <w:iCs/>
          <w:sz w:val="24"/>
          <w:szCs w:val="24"/>
        </w:rPr>
        <w:t>1</w:t>
      </w:r>
      <w:r w:rsidR="003518D6">
        <w:rPr>
          <w:rFonts w:ascii="Times New Roman" w:hAnsi="Times New Roman" w:cs="Times New Roman"/>
          <w:i/>
          <w:iCs/>
          <w:sz w:val="24"/>
          <w:szCs w:val="24"/>
        </w:rPr>
        <w:t>8.</w:t>
      </w:r>
      <w:r w:rsidRPr="00526158">
        <w:rPr>
          <w:rFonts w:ascii="Times New Roman" w:hAnsi="Times New Roman" w:cs="Times New Roman"/>
          <w:i/>
          <w:iCs/>
          <w:sz w:val="24"/>
          <w:szCs w:val="24"/>
        </w:rPr>
        <w:t xml:space="preserve"> </w:t>
      </w:r>
      <w:r>
        <w:rPr>
          <w:rFonts w:ascii="Times New Roman" w:hAnsi="Times New Roman" w:cs="Times New Roman"/>
          <w:i/>
          <w:iCs/>
          <w:sz w:val="24"/>
          <w:szCs w:val="24"/>
        </w:rPr>
        <w:t>Watershed runoff in inches and meters from 2015-2021</w:t>
      </w:r>
      <w:r w:rsidRPr="00526158">
        <w:rPr>
          <w:rFonts w:ascii="Times New Roman" w:hAnsi="Times New Roman" w:cs="Times New Roman"/>
          <w:i/>
          <w:iCs/>
          <w:sz w:val="24"/>
          <w:szCs w:val="24"/>
        </w:rPr>
        <w:t xml:space="preserve"> </w:t>
      </w:r>
    </w:p>
    <w:p w14:paraId="5AFD4066" w14:textId="45BA365A" w:rsidR="00965F2D" w:rsidRDefault="002A1BAB" w:rsidP="00965F2D">
      <w:pPr>
        <w:rPr>
          <w:rFonts w:ascii="Times New Roman" w:hAnsi="Times New Roman" w:cs="Times New Roman"/>
          <w:sz w:val="24"/>
          <w:szCs w:val="24"/>
        </w:rPr>
      </w:pPr>
      <w:r>
        <w:rPr>
          <w:rFonts w:ascii="Times New Roman" w:hAnsi="Times New Roman" w:cs="Times New Roman"/>
          <w:sz w:val="24"/>
          <w:szCs w:val="24"/>
        </w:rPr>
        <w:t>The i</w:t>
      </w:r>
      <w:r w:rsidR="00965F2D">
        <w:rPr>
          <w:rFonts w:ascii="Times New Roman" w:hAnsi="Times New Roman" w:cs="Times New Roman"/>
          <w:sz w:val="24"/>
          <w:szCs w:val="24"/>
        </w:rPr>
        <w:t>sotopic data suggest</w:t>
      </w:r>
      <w:r>
        <w:rPr>
          <w:rFonts w:ascii="Times New Roman" w:hAnsi="Times New Roman" w:cs="Times New Roman"/>
          <w:sz w:val="24"/>
          <w:szCs w:val="24"/>
        </w:rPr>
        <w:t>ed</w:t>
      </w:r>
      <w:r w:rsidR="00965F2D">
        <w:rPr>
          <w:rFonts w:ascii="Times New Roman" w:hAnsi="Times New Roman" w:cs="Times New Roman"/>
          <w:sz w:val="24"/>
          <w:szCs w:val="24"/>
        </w:rPr>
        <w:t xml:space="preserve"> that the hydraulic residence time in North Pipe Lake over the study period is range</w:t>
      </w:r>
      <w:r>
        <w:rPr>
          <w:rFonts w:ascii="Times New Roman" w:hAnsi="Times New Roman" w:cs="Times New Roman"/>
          <w:sz w:val="24"/>
          <w:szCs w:val="24"/>
        </w:rPr>
        <w:t>d</w:t>
      </w:r>
      <w:r w:rsidR="00965F2D">
        <w:rPr>
          <w:rFonts w:ascii="Times New Roman" w:hAnsi="Times New Roman" w:cs="Times New Roman"/>
          <w:sz w:val="24"/>
          <w:szCs w:val="24"/>
        </w:rPr>
        <w:t xml:space="preserve"> from 1-2 years (although some isotopic </w:t>
      </w:r>
      <w:r>
        <w:rPr>
          <w:rFonts w:ascii="Times New Roman" w:hAnsi="Times New Roman" w:cs="Times New Roman"/>
          <w:sz w:val="24"/>
          <w:szCs w:val="24"/>
        </w:rPr>
        <w:t>data</w:t>
      </w:r>
      <w:r w:rsidR="00965F2D">
        <w:rPr>
          <w:rFonts w:ascii="Times New Roman" w:hAnsi="Times New Roman" w:cs="Times New Roman"/>
          <w:sz w:val="24"/>
          <w:szCs w:val="24"/>
        </w:rPr>
        <w:t xml:space="preserve"> suggest</w:t>
      </w:r>
      <w:r>
        <w:rPr>
          <w:rFonts w:ascii="Times New Roman" w:hAnsi="Times New Roman" w:cs="Times New Roman"/>
          <w:sz w:val="24"/>
          <w:szCs w:val="24"/>
        </w:rPr>
        <w:t>ed</w:t>
      </w:r>
      <w:r w:rsidR="00965F2D">
        <w:rPr>
          <w:rFonts w:ascii="Times New Roman" w:hAnsi="Times New Roman" w:cs="Times New Roman"/>
          <w:sz w:val="24"/>
          <w:szCs w:val="24"/>
        </w:rPr>
        <w:t xml:space="preserve"> 7-12, however, this is unlikely</w:t>
      </w:r>
      <w:r>
        <w:rPr>
          <w:rFonts w:ascii="Times New Roman" w:hAnsi="Times New Roman" w:cs="Times New Roman"/>
          <w:sz w:val="24"/>
          <w:szCs w:val="24"/>
        </w:rPr>
        <w:t xml:space="preserve"> and more a function of sampling error</w:t>
      </w:r>
      <w:r w:rsidR="00965F2D">
        <w:rPr>
          <w:rFonts w:ascii="Times New Roman" w:hAnsi="Times New Roman" w:cs="Times New Roman"/>
          <w:sz w:val="24"/>
          <w:szCs w:val="24"/>
        </w:rPr>
        <w:t>)</w:t>
      </w:r>
      <w:r w:rsidR="00121B99">
        <w:rPr>
          <w:rFonts w:ascii="Times New Roman" w:hAnsi="Times New Roman" w:cs="Times New Roman"/>
          <w:sz w:val="24"/>
          <w:szCs w:val="24"/>
        </w:rPr>
        <w:t xml:space="preserve">. </w:t>
      </w:r>
      <w:r w:rsidR="00965F2D">
        <w:rPr>
          <w:rFonts w:ascii="Times New Roman" w:hAnsi="Times New Roman" w:cs="Times New Roman"/>
          <w:sz w:val="24"/>
          <w:szCs w:val="24"/>
        </w:rPr>
        <w:t xml:space="preserve">Using the hydrologic, </w:t>
      </w:r>
      <w:r w:rsidR="00121B99">
        <w:rPr>
          <w:rFonts w:ascii="Times New Roman" w:hAnsi="Times New Roman" w:cs="Times New Roman"/>
          <w:sz w:val="24"/>
          <w:szCs w:val="24"/>
        </w:rPr>
        <w:t>geomorphic,</w:t>
      </w:r>
      <w:r w:rsidR="00965F2D">
        <w:rPr>
          <w:rFonts w:ascii="Times New Roman" w:hAnsi="Times New Roman" w:cs="Times New Roman"/>
          <w:sz w:val="24"/>
          <w:szCs w:val="24"/>
        </w:rPr>
        <w:t xml:space="preserve"> and monitored precipitation data, </w:t>
      </w:r>
      <w:r w:rsidR="00B649C7">
        <w:rPr>
          <w:rFonts w:ascii="Times New Roman" w:hAnsi="Times New Roman" w:cs="Times New Roman"/>
          <w:sz w:val="24"/>
          <w:szCs w:val="24"/>
        </w:rPr>
        <w:t xml:space="preserve">the </w:t>
      </w:r>
      <w:r w:rsidR="00965F2D">
        <w:rPr>
          <w:rFonts w:ascii="Times New Roman" w:hAnsi="Times New Roman" w:cs="Times New Roman"/>
          <w:sz w:val="24"/>
          <w:szCs w:val="24"/>
        </w:rPr>
        <w:t xml:space="preserve">modeling </w:t>
      </w:r>
      <w:r w:rsidR="00B649C7">
        <w:rPr>
          <w:rFonts w:ascii="Times New Roman" w:hAnsi="Times New Roman" w:cs="Times New Roman"/>
          <w:sz w:val="24"/>
          <w:szCs w:val="24"/>
        </w:rPr>
        <w:t>results alien with the isotope data</w:t>
      </w:r>
      <w:r w:rsidR="00965F2D">
        <w:rPr>
          <w:rFonts w:ascii="Times New Roman" w:hAnsi="Times New Roman" w:cs="Times New Roman"/>
          <w:sz w:val="24"/>
          <w:szCs w:val="24"/>
        </w:rPr>
        <w:t xml:space="preserve">. When changes in hydraulic residence time </w:t>
      </w:r>
      <w:r w:rsidR="00B649C7">
        <w:rPr>
          <w:rFonts w:ascii="Times New Roman" w:hAnsi="Times New Roman" w:cs="Times New Roman"/>
          <w:sz w:val="24"/>
          <w:szCs w:val="24"/>
        </w:rPr>
        <w:t>we</w:t>
      </w:r>
      <w:r w:rsidR="00965F2D">
        <w:rPr>
          <w:rFonts w:ascii="Times New Roman" w:hAnsi="Times New Roman" w:cs="Times New Roman"/>
          <w:sz w:val="24"/>
          <w:szCs w:val="24"/>
        </w:rPr>
        <w:t>re modeled against the mean growing season P concentrations the model suggest</w:t>
      </w:r>
      <w:r w:rsidR="00B649C7">
        <w:rPr>
          <w:rFonts w:ascii="Times New Roman" w:hAnsi="Times New Roman" w:cs="Times New Roman"/>
          <w:sz w:val="24"/>
          <w:szCs w:val="24"/>
        </w:rPr>
        <w:t>ed</w:t>
      </w:r>
      <w:r w:rsidR="00965F2D">
        <w:rPr>
          <w:rFonts w:ascii="Times New Roman" w:hAnsi="Times New Roman" w:cs="Times New Roman"/>
          <w:sz w:val="24"/>
          <w:szCs w:val="24"/>
        </w:rPr>
        <w:t xml:space="preserve"> that the changes in residence time may </w:t>
      </w:r>
      <w:r w:rsidR="00B649C7">
        <w:rPr>
          <w:rFonts w:ascii="Times New Roman" w:hAnsi="Times New Roman" w:cs="Times New Roman"/>
          <w:sz w:val="24"/>
          <w:szCs w:val="24"/>
        </w:rPr>
        <w:t xml:space="preserve">have </w:t>
      </w:r>
      <w:r w:rsidR="00965F2D">
        <w:rPr>
          <w:rFonts w:ascii="Times New Roman" w:hAnsi="Times New Roman" w:cs="Times New Roman"/>
          <w:sz w:val="24"/>
          <w:szCs w:val="24"/>
        </w:rPr>
        <w:t>be</w:t>
      </w:r>
      <w:r w:rsidR="00B649C7">
        <w:rPr>
          <w:rFonts w:ascii="Times New Roman" w:hAnsi="Times New Roman" w:cs="Times New Roman"/>
          <w:sz w:val="24"/>
          <w:szCs w:val="24"/>
        </w:rPr>
        <w:t>en</w:t>
      </w:r>
      <w:r w:rsidR="00965F2D">
        <w:rPr>
          <w:rFonts w:ascii="Times New Roman" w:hAnsi="Times New Roman" w:cs="Times New Roman"/>
          <w:sz w:val="24"/>
          <w:szCs w:val="24"/>
        </w:rPr>
        <w:t xml:space="preserve"> responsible for the periodic algae blooms seen in the lake (Figure 17). </w:t>
      </w:r>
    </w:p>
    <w:p w14:paraId="409C75ED" w14:textId="77777777" w:rsidR="00965F2D" w:rsidRPr="009F372E" w:rsidRDefault="00965F2D" w:rsidP="00965F2D">
      <w:pPr>
        <w:rPr>
          <w:rFonts w:ascii="Times New Roman" w:hAnsi="Times New Roman" w:cs="Times New Roman"/>
          <w:sz w:val="24"/>
          <w:szCs w:val="24"/>
        </w:rPr>
      </w:pPr>
    </w:p>
    <w:p w14:paraId="4D64DC04" w14:textId="77777777" w:rsidR="00965F2D" w:rsidRDefault="00965F2D" w:rsidP="00965F2D">
      <w:pPr>
        <w:jc w:val="center"/>
        <w:rPr>
          <w:rFonts w:ascii="Times New Roman" w:hAnsi="Times New Roman" w:cs="Times New Roman"/>
          <w:sz w:val="24"/>
          <w:szCs w:val="24"/>
        </w:rPr>
      </w:pPr>
      <w:r>
        <w:rPr>
          <w:noProof/>
        </w:rPr>
        <w:drawing>
          <wp:inline distT="0" distB="0" distL="0" distR="0" wp14:anchorId="53C07455" wp14:editId="678E9442">
            <wp:extent cx="5810250" cy="3268980"/>
            <wp:effectExtent l="0" t="0" r="0" b="7620"/>
            <wp:docPr id="7" name="Chart 7">
              <a:extLst xmlns:a="http://schemas.openxmlformats.org/drawingml/2006/main">
                <a:ext uri="{FF2B5EF4-FFF2-40B4-BE49-F238E27FC236}">
                  <a16:creationId xmlns:a16="http://schemas.microsoft.com/office/drawing/2014/main" id="{2643ED06-CBCF-4B32-A47B-41C199B0E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5953E7" w14:textId="11EE5461" w:rsidR="00965F2D" w:rsidRDefault="00965F2D" w:rsidP="00965F2D">
      <w:pPr>
        <w:rPr>
          <w:rFonts w:ascii="Times New Roman" w:hAnsi="Times New Roman" w:cs="Times New Roman"/>
          <w:i/>
          <w:iCs/>
          <w:sz w:val="24"/>
          <w:szCs w:val="24"/>
        </w:rPr>
      </w:pPr>
      <w:r w:rsidRPr="00526158">
        <w:rPr>
          <w:rFonts w:ascii="Times New Roman" w:hAnsi="Times New Roman" w:cs="Times New Roman"/>
          <w:i/>
          <w:iCs/>
          <w:sz w:val="24"/>
          <w:szCs w:val="24"/>
        </w:rPr>
        <w:t xml:space="preserve">Figure </w:t>
      </w:r>
      <w:r>
        <w:rPr>
          <w:rFonts w:ascii="Times New Roman" w:hAnsi="Times New Roman" w:cs="Times New Roman"/>
          <w:i/>
          <w:iCs/>
          <w:sz w:val="24"/>
          <w:szCs w:val="24"/>
        </w:rPr>
        <w:t>1</w:t>
      </w:r>
      <w:r w:rsidR="003518D6">
        <w:rPr>
          <w:rFonts w:ascii="Times New Roman" w:hAnsi="Times New Roman" w:cs="Times New Roman"/>
          <w:i/>
          <w:iCs/>
          <w:sz w:val="24"/>
          <w:szCs w:val="24"/>
        </w:rPr>
        <w:t>9</w:t>
      </w:r>
      <w:r w:rsidR="00121B99" w:rsidRPr="00526158">
        <w:rPr>
          <w:rFonts w:ascii="Times New Roman" w:hAnsi="Times New Roman" w:cs="Times New Roman"/>
          <w:i/>
          <w:iCs/>
          <w:sz w:val="24"/>
          <w:szCs w:val="24"/>
        </w:rPr>
        <w:t>.</w:t>
      </w:r>
      <w:r w:rsidR="00121B99">
        <w:rPr>
          <w:rFonts w:ascii="Times New Roman" w:hAnsi="Times New Roman" w:cs="Times New Roman"/>
          <w:i/>
          <w:iCs/>
          <w:sz w:val="24"/>
          <w:szCs w:val="24"/>
        </w:rPr>
        <w:t xml:space="preserve"> </w:t>
      </w:r>
      <w:r>
        <w:rPr>
          <w:rFonts w:ascii="Times New Roman" w:hAnsi="Times New Roman" w:cs="Times New Roman"/>
          <w:i/>
          <w:iCs/>
          <w:sz w:val="24"/>
          <w:szCs w:val="24"/>
        </w:rPr>
        <w:t>North Pipe Lake vs hydraulic residence time</w:t>
      </w:r>
    </w:p>
    <w:p w14:paraId="4AF4A593" w14:textId="6C1D21D4" w:rsidR="00965F2D" w:rsidRDefault="00965F2D" w:rsidP="00965F2D">
      <w:pPr>
        <w:rPr>
          <w:rFonts w:ascii="Times New Roman" w:hAnsi="Times New Roman" w:cs="Times New Roman"/>
          <w:sz w:val="24"/>
          <w:szCs w:val="24"/>
        </w:rPr>
      </w:pPr>
      <w:r>
        <w:rPr>
          <w:rFonts w:ascii="Times New Roman" w:hAnsi="Times New Roman" w:cs="Times New Roman"/>
          <w:sz w:val="24"/>
          <w:szCs w:val="24"/>
        </w:rPr>
        <w:t>The model suggest</w:t>
      </w:r>
      <w:r w:rsidR="00B649C7">
        <w:rPr>
          <w:rFonts w:ascii="Times New Roman" w:hAnsi="Times New Roman" w:cs="Times New Roman"/>
          <w:sz w:val="24"/>
          <w:szCs w:val="24"/>
        </w:rPr>
        <w:t>ed</w:t>
      </w:r>
      <w:r>
        <w:rPr>
          <w:rFonts w:ascii="Times New Roman" w:hAnsi="Times New Roman" w:cs="Times New Roman"/>
          <w:sz w:val="24"/>
          <w:szCs w:val="24"/>
        </w:rPr>
        <w:t xml:space="preserve"> that for Pipe Lake that that hydraulic residence time may not be as large </w:t>
      </w:r>
      <w:r w:rsidR="00B649C7">
        <w:rPr>
          <w:rFonts w:ascii="Times New Roman" w:hAnsi="Times New Roman" w:cs="Times New Roman"/>
          <w:sz w:val="24"/>
          <w:szCs w:val="24"/>
        </w:rPr>
        <w:t xml:space="preserve">of </w:t>
      </w:r>
      <w:r>
        <w:rPr>
          <w:rFonts w:ascii="Times New Roman" w:hAnsi="Times New Roman" w:cs="Times New Roman"/>
          <w:sz w:val="24"/>
          <w:szCs w:val="24"/>
        </w:rPr>
        <w:t>a factor as the changes in discharge from North Pipe Lake as that lake’s hydraulic residence time changes (Figures 18 &amp; 19).</w:t>
      </w:r>
    </w:p>
    <w:p w14:paraId="2680DE62" w14:textId="77777777" w:rsidR="00965F2D" w:rsidRPr="00114691" w:rsidRDefault="00965F2D" w:rsidP="00965F2D">
      <w:pPr>
        <w:rPr>
          <w:rFonts w:ascii="Times New Roman" w:hAnsi="Times New Roman" w:cs="Times New Roman"/>
          <w:sz w:val="24"/>
          <w:szCs w:val="24"/>
        </w:rPr>
      </w:pPr>
      <w:r>
        <w:rPr>
          <w:noProof/>
        </w:rPr>
        <w:drawing>
          <wp:inline distT="0" distB="0" distL="0" distR="0" wp14:anchorId="229F6038" wp14:editId="529C55BF">
            <wp:extent cx="5638165" cy="3223260"/>
            <wp:effectExtent l="0" t="0" r="635" b="15240"/>
            <wp:docPr id="9" name="Chart 9">
              <a:extLst xmlns:a="http://schemas.openxmlformats.org/drawingml/2006/main">
                <a:ext uri="{FF2B5EF4-FFF2-40B4-BE49-F238E27FC236}">
                  <a16:creationId xmlns:a16="http://schemas.microsoft.com/office/drawing/2014/main" id="{CBA14934-B3F1-4D87-8851-4FACA6B30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E0113F" w14:textId="7F514C25" w:rsidR="00965F2D" w:rsidRDefault="00965F2D" w:rsidP="00965F2D">
      <w:pPr>
        <w:rPr>
          <w:rFonts w:ascii="Times New Roman" w:hAnsi="Times New Roman" w:cs="Times New Roman"/>
          <w:i/>
          <w:iCs/>
          <w:sz w:val="24"/>
          <w:szCs w:val="24"/>
        </w:rPr>
      </w:pPr>
      <w:r w:rsidRPr="00526158">
        <w:rPr>
          <w:rFonts w:ascii="Times New Roman" w:hAnsi="Times New Roman" w:cs="Times New Roman"/>
          <w:i/>
          <w:iCs/>
          <w:sz w:val="24"/>
          <w:szCs w:val="24"/>
        </w:rPr>
        <w:t xml:space="preserve">Figure </w:t>
      </w:r>
      <w:r w:rsidR="003518D6">
        <w:rPr>
          <w:rFonts w:ascii="Times New Roman" w:hAnsi="Times New Roman" w:cs="Times New Roman"/>
          <w:i/>
          <w:iCs/>
          <w:sz w:val="24"/>
          <w:szCs w:val="24"/>
        </w:rPr>
        <w:t>20</w:t>
      </w:r>
      <w:r w:rsidRPr="00526158">
        <w:rPr>
          <w:rFonts w:ascii="Times New Roman" w:hAnsi="Times New Roman" w:cs="Times New Roman"/>
          <w:i/>
          <w:iCs/>
          <w:sz w:val="24"/>
          <w:szCs w:val="24"/>
        </w:rPr>
        <w:t>.</w:t>
      </w:r>
      <w:r>
        <w:rPr>
          <w:rFonts w:ascii="Times New Roman" w:hAnsi="Times New Roman" w:cs="Times New Roman"/>
          <w:i/>
          <w:iCs/>
          <w:sz w:val="24"/>
          <w:szCs w:val="24"/>
        </w:rPr>
        <w:t xml:space="preserve"> Pipe Lake vs hydraulic residence time</w:t>
      </w:r>
    </w:p>
    <w:p w14:paraId="070267D8" w14:textId="77777777" w:rsidR="00965F2D" w:rsidRDefault="00965F2D" w:rsidP="00965F2D">
      <w:pPr>
        <w:rPr>
          <w:rFonts w:ascii="Times New Roman" w:hAnsi="Times New Roman" w:cs="Times New Roman"/>
          <w:i/>
          <w:iCs/>
          <w:sz w:val="24"/>
          <w:szCs w:val="24"/>
        </w:rPr>
      </w:pPr>
      <w:r>
        <w:rPr>
          <w:noProof/>
        </w:rPr>
        <w:drawing>
          <wp:inline distT="0" distB="0" distL="0" distR="0" wp14:anchorId="0C8421FD" wp14:editId="43BF4110">
            <wp:extent cx="5705475" cy="3076575"/>
            <wp:effectExtent l="0" t="0" r="9525" b="9525"/>
            <wp:docPr id="10" name="Chart 10">
              <a:extLst xmlns:a="http://schemas.openxmlformats.org/drawingml/2006/main">
                <a:ext uri="{FF2B5EF4-FFF2-40B4-BE49-F238E27FC236}">
                  <a16:creationId xmlns:a16="http://schemas.microsoft.com/office/drawing/2014/main" id="{73BA192E-037F-4712-8D4E-AEEE347F65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25687AA" w14:textId="6498E5CB" w:rsidR="00965F2D" w:rsidRDefault="00965F2D" w:rsidP="00965F2D">
      <w:pPr>
        <w:rPr>
          <w:rFonts w:ascii="Times New Roman" w:hAnsi="Times New Roman" w:cs="Times New Roman"/>
          <w:i/>
          <w:iCs/>
          <w:sz w:val="24"/>
          <w:szCs w:val="24"/>
        </w:rPr>
      </w:pPr>
      <w:r w:rsidRPr="00526158">
        <w:rPr>
          <w:rFonts w:ascii="Times New Roman" w:hAnsi="Times New Roman" w:cs="Times New Roman"/>
          <w:i/>
          <w:iCs/>
          <w:sz w:val="24"/>
          <w:szCs w:val="24"/>
        </w:rPr>
        <w:t xml:space="preserve">Figure </w:t>
      </w:r>
      <w:r w:rsidR="003518D6">
        <w:rPr>
          <w:rFonts w:ascii="Times New Roman" w:hAnsi="Times New Roman" w:cs="Times New Roman"/>
          <w:i/>
          <w:iCs/>
          <w:sz w:val="24"/>
          <w:szCs w:val="24"/>
        </w:rPr>
        <w:t>21</w:t>
      </w:r>
      <w:r w:rsidRPr="00526158">
        <w:rPr>
          <w:rFonts w:ascii="Times New Roman" w:hAnsi="Times New Roman" w:cs="Times New Roman"/>
          <w:i/>
          <w:iCs/>
          <w:sz w:val="24"/>
          <w:szCs w:val="24"/>
        </w:rPr>
        <w:t>.</w:t>
      </w:r>
      <w:r>
        <w:rPr>
          <w:rFonts w:ascii="Times New Roman" w:hAnsi="Times New Roman" w:cs="Times New Roman"/>
          <w:i/>
          <w:iCs/>
          <w:sz w:val="24"/>
          <w:szCs w:val="24"/>
        </w:rPr>
        <w:t xml:space="preserve"> Pipe Lake areal load of phosphorus vs. the watershed areal load, including discharge from north Pipe Lake</w:t>
      </w:r>
    </w:p>
    <w:p w14:paraId="4C9F2F18" w14:textId="73BA0A0C" w:rsidR="00965F2D" w:rsidRDefault="00965F2D" w:rsidP="00965F2D">
      <w:pPr>
        <w:rPr>
          <w:rFonts w:ascii="Times New Roman" w:hAnsi="Times New Roman" w:cs="Times New Roman"/>
          <w:sz w:val="24"/>
          <w:szCs w:val="24"/>
        </w:rPr>
      </w:pPr>
      <w:r>
        <w:rPr>
          <w:rFonts w:ascii="Times New Roman" w:hAnsi="Times New Roman" w:cs="Times New Roman"/>
          <w:sz w:val="24"/>
          <w:szCs w:val="24"/>
        </w:rPr>
        <w:t>The model</w:t>
      </w:r>
      <w:r w:rsidR="00EB1A4E">
        <w:rPr>
          <w:rFonts w:ascii="Times New Roman" w:hAnsi="Times New Roman" w:cs="Times New Roman"/>
          <w:sz w:val="24"/>
          <w:szCs w:val="24"/>
        </w:rPr>
        <w:t xml:space="preserve"> indicated</w:t>
      </w:r>
      <w:r>
        <w:rPr>
          <w:rFonts w:ascii="Times New Roman" w:hAnsi="Times New Roman" w:cs="Times New Roman"/>
          <w:sz w:val="24"/>
          <w:szCs w:val="24"/>
        </w:rPr>
        <w:t xml:space="preserve"> that changes int the hydraulic residence time of North Pipe Lake directly influences the water quality of Pipe Lake</w:t>
      </w:r>
      <w:r w:rsidR="00121B99">
        <w:rPr>
          <w:rFonts w:ascii="Times New Roman" w:hAnsi="Times New Roman" w:cs="Times New Roman"/>
          <w:sz w:val="24"/>
          <w:szCs w:val="24"/>
        </w:rPr>
        <w:t xml:space="preserve">. </w:t>
      </w:r>
      <w:r>
        <w:rPr>
          <w:rFonts w:ascii="Times New Roman" w:hAnsi="Times New Roman" w:cs="Times New Roman"/>
          <w:sz w:val="24"/>
          <w:szCs w:val="24"/>
        </w:rPr>
        <w:t>As has been suggested in previous lake plans</w:t>
      </w:r>
      <w:r w:rsidR="00EB1A4E">
        <w:rPr>
          <w:rFonts w:ascii="Times New Roman" w:hAnsi="Times New Roman" w:cs="Times New Roman"/>
          <w:sz w:val="24"/>
          <w:szCs w:val="24"/>
        </w:rPr>
        <w:t>,</w:t>
      </w:r>
      <w:r>
        <w:rPr>
          <w:rFonts w:ascii="Times New Roman" w:hAnsi="Times New Roman" w:cs="Times New Roman"/>
          <w:sz w:val="24"/>
          <w:szCs w:val="24"/>
        </w:rPr>
        <w:t xml:space="preserve"> stormwater management in the North Pipe </w:t>
      </w:r>
      <w:r w:rsidR="00EB1A4E">
        <w:rPr>
          <w:rFonts w:ascii="Times New Roman" w:hAnsi="Times New Roman" w:cs="Times New Roman"/>
          <w:sz w:val="24"/>
          <w:szCs w:val="24"/>
        </w:rPr>
        <w:t>L</w:t>
      </w:r>
      <w:r>
        <w:rPr>
          <w:rFonts w:ascii="Times New Roman" w:hAnsi="Times New Roman" w:cs="Times New Roman"/>
          <w:sz w:val="24"/>
          <w:szCs w:val="24"/>
        </w:rPr>
        <w:t>ake watershed will have direct implications for the water quality of Pipe Lake</w:t>
      </w:r>
      <w:r w:rsidR="00121B99">
        <w:rPr>
          <w:rFonts w:ascii="Times New Roman" w:hAnsi="Times New Roman" w:cs="Times New Roman"/>
          <w:sz w:val="24"/>
          <w:szCs w:val="24"/>
        </w:rPr>
        <w:t xml:space="preserve">. </w:t>
      </w:r>
      <w:r>
        <w:rPr>
          <w:rFonts w:ascii="Times New Roman" w:hAnsi="Times New Roman" w:cs="Times New Roman"/>
          <w:sz w:val="24"/>
          <w:szCs w:val="24"/>
        </w:rPr>
        <w:t xml:space="preserve">Although basic watershed BMP’s such as shoreline </w:t>
      </w:r>
      <w:r w:rsidR="00EB1A4E">
        <w:rPr>
          <w:rFonts w:ascii="Times New Roman" w:hAnsi="Times New Roman" w:cs="Times New Roman"/>
          <w:sz w:val="24"/>
          <w:szCs w:val="24"/>
        </w:rPr>
        <w:t xml:space="preserve">management and </w:t>
      </w:r>
      <w:r>
        <w:rPr>
          <w:rFonts w:ascii="Times New Roman" w:hAnsi="Times New Roman" w:cs="Times New Roman"/>
          <w:sz w:val="24"/>
          <w:szCs w:val="24"/>
        </w:rPr>
        <w:t xml:space="preserve">restoration will still have a positive impact on the water quality and habitat for riparian and littoral species on both lakes and should not be </w:t>
      </w:r>
      <w:r w:rsidR="00EB1A4E">
        <w:rPr>
          <w:rFonts w:ascii="Times New Roman" w:hAnsi="Times New Roman" w:cs="Times New Roman"/>
          <w:sz w:val="24"/>
          <w:szCs w:val="24"/>
        </w:rPr>
        <w:t>overlooked</w:t>
      </w:r>
      <w:r>
        <w:rPr>
          <w:rFonts w:ascii="Times New Roman" w:hAnsi="Times New Roman" w:cs="Times New Roman"/>
          <w:sz w:val="24"/>
          <w:szCs w:val="24"/>
        </w:rPr>
        <w:t>.</w:t>
      </w:r>
      <w:r w:rsidR="00EB1A4E">
        <w:rPr>
          <w:rFonts w:ascii="Times New Roman" w:hAnsi="Times New Roman" w:cs="Times New Roman"/>
          <w:sz w:val="24"/>
          <w:szCs w:val="24"/>
        </w:rPr>
        <w:t xml:space="preserve"> We believe this is the key “take-home” message to protect both lakes from future </w:t>
      </w:r>
      <w:r w:rsidR="007422AC">
        <w:rPr>
          <w:rFonts w:ascii="Times New Roman" w:hAnsi="Times New Roman" w:cs="Times New Roman"/>
          <w:sz w:val="24"/>
          <w:szCs w:val="24"/>
        </w:rPr>
        <w:t>water quality degradation.</w:t>
      </w:r>
      <w:r w:rsidR="00E56649">
        <w:rPr>
          <w:rFonts w:ascii="Times New Roman" w:hAnsi="Times New Roman" w:cs="Times New Roman"/>
          <w:sz w:val="24"/>
          <w:szCs w:val="24"/>
        </w:rPr>
        <w:t xml:space="preserve"> </w:t>
      </w:r>
    </w:p>
    <w:p w14:paraId="63C8CB5F" w14:textId="292EF0DA" w:rsidR="00E13E3B" w:rsidRDefault="00E13E3B" w:rsidP="00965F2D">
      <w:pPr>
        <w:rPr>
          <w:rFonts w:ascii="Times New Roman" w:hAnsi="Times New Roman" w:cs="Times New Roman"/>
          <w:sz w:val="24"/>
          <w:szCs w:val="24"/>
        </w:rPr>
      </w:pPr>
    </w:p>
    <w:p w14:paraId="08DA9FE9" w14:textId="6CD5560F" w:rsidR="00E13E3B" w:rsidRPr="00FC110F" w:rsidRDefault="003B0A2B" w:rsidP="00965F2D">
      <w:pPr>
        <w:rPr>
          <w:rFonts w:ascii="Times New Roman" w:hAnsi="Times New Roman" w:cs="Times New Roman"/>
          <w:b/>
          <w:bCs/>
          <w:sz w:val="24"/>
          <w:szCs w:val="24"/>
        </w:rPr>
      </w:pPr>
      <w:r w:rsidRPr="00FC110F">
        <w:rPr>
          <w:rFonts w:ascii="Times New Roman" w:hAnsi="Times New Roman" w:cs="Times New Roman"/>
          <w:b/>
          <w:bCs/>
          <w:sz w:val="24"/>
          <w:szCs w:val="24"/>
        </w:rPr>
        <w:t>Recommendations</w:t>
      </w:r>
      <w:r w:rsidR="00DB5F33" w:rsidRPr="00FC110F">
        <w:rPr>
          <w:rFonts w:ascii="Times New Roman" w:hAnsi="Times New Roman" w:cs="Times New Roman"/>
          <w:b/>
          <w:bCs/>
          <w:sz w:val="24"/>
          <w:szCs w:val="24"/>
        </w:rPr>
        <w:t xml:space="preserve"> based on comment</w:t>
      </w:r>
      <w:r w:rsidR="009B018B" w:rsidRPr="00FC110F">
        <w:rPr>
          <w:rFonts w:ascii="Times New Roman" w:hAnsi="Times New Roman" w:cs="Times New Roman"/>
          <w:b/>
          <w:bCs/>
          <w:sz w:val="24"/>
          <w:szCs w:val="24"/>
        </w:rPr>
        <w:t>s</w:t>
      </w:r>
      <w:r w:rsidR="00DB5F33" w:rsidRPr="00FC110F">
        <w:rPr>
          <w:rFonts w:ascii="Times New Roman" w:hAnsi="Times New Roman" w:cs="Times New Roman"/>
          <w:b/>
          <w:bCs/>
          <w:sz w:val="24"/>
          <w:szCs w:val="24"/>
        </w:rPr>
        <w:t xml:space="preserve"> and the January 10</w:t>
      </w:r>
      <w:r w:rsidR="00DB5F33" w:rsidRPr="00FC110F">
        <w:rPr>
          <w:rFonts w:ascii="Times New Roman" w:hAnsi="Times New Roman" w:cs="Times New Roman"/>
          <w:b/>
          <w:bCs/>
          <w:sz w:val="24"/>
          <w:szCs w:val="24"/>
          <w:vertAlign w:val="superscript"/>
        </w:rPr>
        <w:t>th</w:t>
      </w:r>
      <w:r w:rsidR="00DB5F33" w:rsidRPr="00FC110F">
        <w:rPr>
          <w:rFonts w:ascii="Times New Roman" w:hAnsi="Times New Roman" w:cs="Times New Roman"/>
          <w:b/>
          <w:bCs/>
          <w:sz w:val="24"/>
          <w:szCs w:val="24"/>
        </w:rPr>
        <w:t xml:space="preserve"> </w:t>
      </w:r>
      <w:r w:rsidR="009B018B" w:rsidRPr="00FC110F">
        <w:rPr>
          <w:rFonts w:ascii="Times New Roman" w:hAnsi="Times New Roman" w:cs="Times New Roman"/>
          <w:b/>
          <w:bCs/>
          <w:sz w:val="24"/>
          <w:szCs w:val="24"/>
        </w:rPr>
        <w:t>Zoom call</w:t>
      </w:r>
      <w:r w:rsidRPr="00FC110F">
        <w:rPr>
          <w:rFonts w:ascii="Times New Roman" w:hAnsi="Times New Roman" w:cs="Times New Roman"/>
          <w:b/>
          <w:bCs/>
          <w:sz w:val="24"/>
          <w:szCs w:val="24"/>
        </w:rPr>
        <w:t>:</w:t>
      </w:r>
    </w:p>
    <w:p w14:paraId="00D1E28F" w14:textId="0B60E00B" w:rsidR="000272FE" w:rsidRPr="00FC110F" w:rsidRDefault="00D76A84" w:rsidP="00FC110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Dr. </w:t>
      </w:r>
      <w:r w:rsidRPr="00FC110F">
        <w:rPr>
          <w:rFonts w:ascii="Times New Roman" w:hAnsi="Times New Roman" w:cs="Times New Roman"/>
          <w:sz w:val="24"/>
          <w:szCs w:val="24"/>
        </w:rPr>
        <w:t xml:space="preserve">Udai Singh will work closely with Larry Bersina to </w:t>
      </w:r>
      <w:r>
        <w:rPr>
          <w:rFonts w:ascii="Times New Roman" w:hAnsi="Times New Roman" w:cs="Times New Roman"/>
          <w:sz w:val="24"/>
          <w:szCs w:val="24"/>
        </w:rPr>
        <w:t>i</w:t>
      </w:r>
      <w:r w:rsidR="003B0A2B" w:rsidRPr="00FC110F">
        <w:rPr>
          <w:rFonts w:ascii="Times New Roman" w:hAnsi="Times New Roman" w:cs="Times New Roman"/>
          <w:sz w:val="24"/>
          <w:szCs w:val="24"/>
        </w:rPr>
        <w:t>nstall “V-notch” weirs at selected tributaries feeding North Pipe Lake</w:t>
      </w:r>
      <w:r w:rsidR="00FC110F" w:rsidRPr="00FC110F">
        <w:rPr>
          <w:rFonts w:ascii="Times New Roman" w:hAnsi="Times New Roman" w:cs="Times New Roman"/>
          <w:sz w:val="24"/>
          <w:szCs w:val="24"/>
        </w:rPr>
        <w:t>, then d</w:t>
      </w:r>
      <w:r w:rsidR="003B0A2B" w:rsidRPr="00FC110F">
        <w:rPr>
          <w:rFonts w:ascii="Times New Roman" w:hAnsi="Times New Roman" w:cs="Times New Roman"/>
          <w:sz w:val="24"/>
          <w:szCs w:val="24"/>
        </w:rPr>
        <w:t>evelop long-term flow rating curves and conduct concentration sampling when possible.</w:t>
      </w:r>
    </w:p>
    <w:p w14:paraId="0CDC7090" w14:textId="58280569" w:rsidR="000272FE" w:rsidRPr="00FC110F" w:rsidRDefault="000272FE" w:rsidP="00FC110F">
      <w:pPr>
        <w:pStyle w:val="ListParagraph"/>
        <w:numPr>
          <w:ilvl w:val="0"/>
          <w:numId w:val="2"/>
        </w:numPr>
        <w:rPr>
          <w:rFonts w:ascii="Times New Roman" w:hAnsi="Times New Roman" w:cs="Times New Roman"/>
          <w:sz w:val="24"/>
          <w:szCs w:val="24"/>
        </w:rPr>
      </w:pPr>
      <w:r w:rsidRPr="00FC110F">
        <w:rPr>
          <w:rFonts w:ascii="Times New Roman" w:hAnsi="Times New Roman" w:cs="Times New Roman"/>
          <w:sz w:val="24"/>
          <w:szCs w:val="24"/>
        </w:rPr>
        <w:t xml:space="preserve">Tim Larson along with the help of others will attempt to video record </w:t>
      </w:r>
      <w:r w:rsidR="005164F4" w:rsidRPr="00FC110F">
        <w:rPr>
          <w:rFonts w:ascii="Times New Roman" w:hAnsi="Times New Roman" w:cs="Times New Roman"/>
          <w:sz w:val="24"/>
          <w:szCs w:val="24"/>
        </w:rPr>
        <w:t>stormflow runoff at selected locations to illustrate both at risk sites and the value of water holding BMPs.</w:t>
      </w:r>
    </w:p>
    <w:p w14:paraId="126467A9" w14:textId="5730CB22" w:rsidR="005164F4" w:rsidRPr="00FC110F" w:rsidRDefault="005164F4" w:rsidP="00FC110F">
      <w:pPr>
        <w:pStyle w:val="ListParagraph"/>
        <w:numPr>
          <w:ilvl w:val="0"/>
          <w:numId w:val="2"/>
        </w:numPr>
        <w:rPr>
          <w:rFonts w:ascii="Times New Roman" w:hAnsi="Times New Roman" w:cs="Times New Roman"/>
          <w:sz w:val="24"/>
          <w:szCs w:val="24"/>
        </w:rPr>
      </w:pPr>
      <w:r w:rsidRPr="00FC110F">
        <w:rPr>
          <w:rFonts w:ascii="Times New Roman" w:hAnsi="Times New Roman" w:cs="Times New Roman"/>
          <w:sz w:val="24"/>
          <w:szCs w:val="24"/>
        </w:rPr>
        <w:t>Jeremy Williamson will take t</w:t>
      </w:r>
      <w:r w:rsidR="00D76A84">
        <w:rPr>
          <w:rFonts w:ascii="Times New Roman" w:hAnsi="Times New Roman" w:cs="Times New Roman"/>
          <w:sz w:val="24"/>
          <w:szCs w:val="24"/>
        </w:rPr>
        <w:t>he</w:t>
      </w:r>
      <w:r w:rsidRPr="00FC110F">
        <w:rPr>
          <w:rFonts w:ascii="Times New Roman" w:hAnsi="Times New Roman" w:cs="Times New Roman"/>
          <w:sz w:val="24"/>
          <w:szCs w:val="24"/>
        </w:rPr>
        <w:t xml:space="preserve"> information contained in this report and the report by Dr. Bill James and incorporate changes to upgrade the next Pipe and North Pipe Lake Management Plan.</w:t>
      </w:r>
    </w:p>
    <w:p w14:paraId="5A7E52A1" w14:textId="6D61B30E" w:rsidR="005164F4" w:rsidRPr="00FC110F" w:rsidRDefault="00AD625B" w:rsidP="00FC110F">
      <w:pPr>
        <w:pStyle w:val="ListParagraph"/>
        <w:numPr>
          <w:ilvl w:val="0"/>
          <w:numId w:val="2"/>
        </w:numPr>
        <w:rPr>
          <w:rFonts w:ascii="Times New Roman" w:hAnsi="Times New Roman" w:cs="Times New Roman"/>
          <w:sz w:val="24"/>
          <w:szCs w:val="24"/>
        </w:rPr>
      </w:pPr>
      <w:r w:rsidRPr="00FC110F">
        <w:rPr>
          <w:rFonts w:ascii="Times New Roman" w:hAnsi="Times New Roman" w:cs="Times New Roman"/>
          <w:sz w:val="24"/>
          <w:szCs w:val="24"/>
        </w:rPr>
        <w:t>Jan Breyer will explore options for improving lake homeowner response to water and soil management. This could include the Lakes District hiring and managing a landscape improvement contractor.</w:t>
      </w:r>
    </w:p>
    <w:p w14:paraId="33554D3C" w14:textId="1C4C6EB3" w:rsidR="00670615" w:rsidRPr="00031BA9" w:rsidRDefault="00DB5F33" w:rsidP="00121B99">
      <w:pPr>
        <w:pStyle w:val="ListParagraph"/>
        <w:numPr>
          <w:ilvl w:val="0"/>
          <w:numId w:val="2"/>
        </w:numPr>
        <w:rPr>
          <w:rFonts w:ascii="Times New Roman" w:eastAsia="Times New Roman" w:hAnsi="Times New Roman" w:cs="Times New Roman"/>
          <w:sz w:val="24"/>
          <w:szCs w:val="24"/>
        </w:rPr>
      </w:pPr>
      <w:r w:rsidRPr="00031BA9">
        <w:rPr>
          <w:rFonts w:ascii="Times New Roman" w:hAnsi="Times New Roman" w:cs="Times New Roman"/>
          <w:sz w:val="24"/>
          <w:szCs w:val="24"/>
        </w:rPr>
        <w:t>Dick Hollar will explore options for year-round precipitation measurement and getting more comprehensive lake stage data</w:t>
      </w:r>
      <w:r w:rsidR="007104F0" w:rsidRPr="00031BA9">
        <w:rPr>
          <w:rFonts w:ascii="Times New Roman" w:hAnsi="Times New Roman" w:cs="Times New Roman"/>
          <w:sz w:val="24"/>
          <w:szCs w:val="24"/>
        </w:rPr>
        <w:t xml:space="preserve"> with new installations</w:t>
      </w:r>
      <w:r w:rsidRPr="00031BA9">
        <w:rPr>
          <w:rFonts w:ascii="Times New Roman" w:hAnsi="Times New Roman" w:cs="Times New Roman"/>
          <w:sz w:val="24"/>
          <w:szCs w:val="24"/>
        </w:rPr>
        <w:t xml:space="preserve">. </w:t>
      </w:r>
    </w:p>
    <w:sectPr w:rsidR="00670615" w:rsidRPr="00031B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14670"/>
    <w:multiLevelType w:val="hybridMultilevel"/>
    <w:tmpl w:val="0C7EBF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81539E"/>
    <w:multiLevelType w:val="hybridMultilevel"/>
    <w:tmpl w:val="504E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615"/>
    <w:rsid w:val="00003BAD"/>
    <w:rsid w:val="000229E7"/>
    <w:rsid w:val="000272FE"/>
    <w:rsid w:val="00031BA9"/>
    <w:rsid w:val="00121B99"/>
    <w:rsid w:val="00193F22"/>
    <w:rsid w:val="001C586F"/>
    <w:rsid w:val="001D409A"/>
    <w:rsid w:val="00224E9B"/>
    <w:rsid w:val="0024331B"/>
    <w:rsid w:val="002A1BAB"/>
    <w:rsid w:val="002C2C04"/>
    <w:rsid w:val="00330B9B"/>
    <w:rsid w:val="003518D6"/>
    <w:rsid w:val="003820B8"/>
    <w:rsid w:val="00383224"/>
    <w:rsid w:val="003A466D"/>
    <w:rsid w:val="003B0A2B"/>
    <w:rsid w:val="003B4097"/>
    <w:rsid w:val="003C2FC4"/>
    <w:rsid w:val="003C3340"/>
    <w:rsid w:val="0042165B"/>
    <w:rsid w:val="00434CD8"/>
    <w:rsid w:val="004B7F84"/>
    <w:rsid w:val="004C50CB"/>
    <w:rsid w:val="004E09E3"/>
    <w:rsid w:val="005164F4"/>
    <w:rsid w:val="005B36B4"/>
    <w:rsid w:val="005C3C52"/>
    <w:rsid w:val="00662372"/>
    <w:rsid w:val="00670615"/>
    <w:rsid w:val="00670EA7"/>
    <w:rsid w:val="00673160"/>
    <w:rsid w:val="006A1F0A"/>
    <w:rsid w:val="006E2584"/>
    <w:rsid w:val="006E3769"/>
    <w:rsid w:val="007104F0"/>
    <w:rsid w:val="007135D8"/>
    <w:rsid w:val="007422AC"/>
    <w:rsid w:val="007F59CD"/>
    <w:rsid w:val="008852C8"/>
    <w:rsid w:val="00917F7D"/>
    <w:rsid w:val="00965F2D"/>
    <w:rsid w:val="00986639"/>
    <w:rsid w:val="00995673"/>
    <w:rsid w:val="009974B4"/>
    <w:rsid w:val="009B018B"/>
    <w:rsid w:val="00A0225E"/>
    <w:rsid w:val="00A9532E"/>
    <w:rsid w:val="00AA147E"/>
    <w:rsid w:val="00AD625B"/>
    <w:rsid w:val="00B12647"/>
    <w:rsid w:val="00B26B62"/>
    <w:rsid w:val="00B649C7"/>
    <w:rsid w:val="00C51434"/>
    <w:rsid w:val="00C7698D"/>
    <w:rsid w:val="00C83C21"/>
    <w:rsid w:val="00CC0E66"/>
    <w:rsid w:val="00CE741E"/>
    <w:rsid w:val="00CF1069"/>
    <w:rsid w:val="00D06A29"/>
    <w:rsid w:val="00D20D5A"/>
    <w:rsid w:val="00D549B3"/>
    <w:rsid w:val="00D76A84"/>
    <w:rsid w:val="00DB5F33"/>
    <w:rsid w:val="00DC1EAD"/>
    <w:rsid w:val="00DC666D"/>
    <w:rsid w:val="00DD69DD"/>
    <w:rsid w:val="00E13E3B"/>
    <w:rsid w:val="00E53E1A"/>
    <w:rsid w:val="00E56649"/>
    <w:rsid w:val="00E81912"/>
    <w:rsid w:val="00E840C5"/>
    <w:rsid w:val="00EB1A4E"/>
    <w:rsid w:val="00F00E67"/>
    <w:rsid w:val="00F20A62"/>
    <w:rsid w:val="00FB0F3D"/>
    <w:rsid w:val="00FC1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3268"/>
  <w15:docId w15:val="{BCC67282-4CC6-454D-90F3-9FEBDE50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427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754"/>
  </w:style>
  <w:style w:type="paragraph" w:styleId="Footer">
    <w:name w:val="footer"/>
    <w:basedOn w:val="Normal"/>
    <w:link w:val="FooterChar"/>
    <w:uiPriority w:val="99"/>
    <w:unhideWhenUsed/>
    <w:rsid w:val="00942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754"/>
  </w:style>
  <w:style w:type="character" w:styleId="Hyperlink">
    <w:name w:val="Hyperlink"/>
    <w:basedOn w:val="DefaultParagraphFont"/>
    <w:uiPriority w:val="99"/>
    <w:unhideWhenUsed/>
    <w:rsid w:val="00942754"/>
    <w:rPr>
      <w:color w:val="0563C1" w:themeColor="hyperlink"/>
      <w:u w:val="single"/>
    </w:rPr>
  </w:style>
  <w:style w:type="character" w:styleId="UnresolvedMention">
    <w:name w:val="Unresolved Mention"/>
    <w:basedOn w:val="DefaultParagraphFont"/>
    <w:uiPriority w:val="99"/>
    <w:semiHidden/>
    <w:unhideWhenUsed/>
    <w:rsid w:val="0094275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82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chart" Target="charts/chart1.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8.png"/><Relationship Id="rId33"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4.png"/><Relationship Id="rId29" Type="http://schemas.openxmlformats.org/officeDocument/2006/relationships/hyperlink" Target="https://www.barroncountywi.gov/vertical/sites/%7B55B35465-9825-4C7F-A839-E0EDFC6408E8%7D/uploads/2019_MITIGATION_HANDBOOK.pdf"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hart" Target="charts/chart4.xml"/><Relationship Id="rId24" Type="http://schemas.openxmlformats.org/officeDocument/2006/relationships/chart" Target="charts/chart12.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7.png"/><Relationship Id="rId28" Type="http://schemas.openxmlformats.org/officeDocument/2006/relationships/hyperlink" Target="https://dnr.wi.gov/topic/ShorelandZoning/documents/NRCSBioTechNote.pdf" TargetMode="External"/><Relationship Id="rId10" Type="http://schemas.openxmlformats.org/officeDocument/2006/relationships/chart" Target="charts/chart3.xml"/><Relationship Id="rId19" Type="http://schemas.openxmlformats.org/officeDocument/2006/relationships/image" Target="media/image3.png"/><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7.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chart" Target="charts/chart14.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gner\Desktop\Isotope%20Data\Pipe%20Lake%202019%20thru%20202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Complet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esli\Documents\School\WR%20Summer%202021\Pipe%20Lakes\Infiltration\PL%20Infiltration%20Data%20Analysis%20(version%20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sli\Documents\School\WR%20Summer%202021\Pipe%20Lakes\Infiltration\PL%20Infiltration%20Data%20Analysi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xlsx"/></Relationships>
</file>

<file path=word/charts/_rels/chart15.xml.rels><?xml version="1.0" encoding="UTF-8" standalone="yes"?>
<Relationships xmlns="http://schemas.openxmlformats.org/package/2006/relationships"><Relationship Id="rId3" Type="http://schemas.openxmlformats.org/officeDocument/2006/relationships/oleObject" Target="file:///C:\Users\jwilliamson\Documents\Lakes\pipe\HRT%20vs.%20P.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jwilliamson\Documents\Lakes\pipe\HRT%20vs.%20P.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jwilliamson\Documents\Lakes\pipe\HRT%20vs.%20P.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gner\Desktop\Isotope%20Data\Pipe%20Lake%202019%20thru%202021.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sli\Documents\School\WR%20Summer%202021\Pipe%20Lakes\Pipe%20Lakes%20Historical%20Data%20(version%202)%20(version%20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Arial Black" panose="020B0A04020102020204" pitchFamily="34" charset="0"/>
              </a:rPr>
              <a:t>Pipe</a:t>
            </a:r>
            <a:r>
              <a:rPr lang="en-US" baseline="0">
                <a:latin typeface="Arial Black" panose="020B0A04020102020204" pitchFamily="34" charset="0"/>
              </a:rPr>
              <a:t> &amp; North Pipe </a:t>
            </a:r>
            <a:endParaRPr lang="en-US">
              <a:latin typeface="Arial Black" panose="020B0A04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661148125715055E-2"/>
          <c:y val="7.4327466419638721E-2"/>
          <c:w val="0.95569617403545648"/>
          <c:h val="0.75104770727188519"/>
        </c:manualLayout>
      </c:layout>
      <c:scatterChart>
        <c:scatterStyle val="lineMarker"/>
        <c:varyColors val="0"/>
        <c:ser>
          <c:idx val="0"/>
          <c:order val="0"/>
          <c:tx>
            <c:strRef>
              <c:f>Sheet3!$E$3</c:f>
              <c:strCache>
                <c:ptCount val="1"/>
                <c:pt idx="0">
                  <c:v>MWL</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2700" cap="rnd">
                <a:solidFill>
                  <a:sysClr val="windowText" lastClr="000000"/>
                </a:solidFill>
                <a:prstDash val="lgDash"/>
              </a:ln>
              <a:effectLst>
                <a:outerShdw blurRad="101600" dist="50800" dir="5400000" algn="ctr" rotWithShape="0">
                  <a:schemeClr val="tx1"/>
                </a:outerShdw>
              </a:effectLst>
            </c:spPr>
            <c:trendlineType val="linear"/>
            <c:dispRSqr val="0"/>
            <c:dispEq val="1"/>
            <c:trendlineLbl>
              <c:layout>
                <c:manualLayout>
                  <c:x val="-0.14685517321475017"/>
                  <c:y val="4.087676284793945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Sheet3!$E$4:$E$54</c:f>
              <c:numCache>
                <c:formatCode>General</c:formatCode>
                <c:ptCount val="51"/>
                <c:pt idx="0">
                  <c:v>-33.04</c:v>
                </c:pt>
                <c:pt idx="1">
                  <c:v>-58.24</c:v>
                </c:pt>
                <c:pt idx="2">
                  <c:v>-62.72</c:v>
                </c:pt>
                <c:pt idx="3">
                  <c:v>-29.6</c:v>
                </c:pt>
                <c:pt idx="4">
                  <c:v>-80.72</c:v>
                </c:pt>
                <c:pt idx="5">
                  <c:v>-81.52</c:v>
                </c:pt>
                <c:pt idx="6">
                  <c:v>-88.88</c:v>
                </c:pt>
                <c:pt idx="7">
                  <c:v>-46.32</c:v>
                </c:pt>
                <c:pt idx="8">
                  <c:v>-59.76</c:v>
                </c:pt>
                <c:pt idx="9">
                  <c:v>-56.24</c:v>
                </c:pt>
                <c:pt idx="10">
                  <c:v>-96.32</c:v>
                </c:pt>
                <c:pt idx="11">
                  <c:v>-25.76</c:v>
                </c:pt>
              </c:numCache>
            </c:numRef>
          </c:yVal>
          <c:smooth val="0"/>
          <c:extLst>
            <c:ext xmlns:c16="http://schemas.microsoft.com/office/drawing/2014/chart" uri="{C3380CC4-5D6E-409C-BE32-E72D297353CC}">
              <c16:uniqueId val="{00000001-2513-4061-8773-30B07C78C70F}"/>
            </c:ext>
          </c:extLst>
        </c:ser>
        <c:ser>
          <c:idx val="1"/>
          <c:order val="1"/>
          <c:tx>
            <c:strRef>
              <c:f>Sheet3!$F$3</c:f>
              <c:strCache>
                <c:ptCount val="1"/>
                <c:pt idx="0">
                  <c:v>19P</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0.47537283801063329"/>
                  <c:y val="0.5203964798517832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Sheet3!$F$4:$F$54</c:f>
              <c:numCache>
                <c:formatCode>General</c:formatCode>
                <c:ptCount val="51"/>
                <c:pt idx="15" formatCode="0.0">
                  <c:v>-60.596000000000004</c:v>
                </c:pt>
                <c:pt idx="16" formatCode="0.0">
                  <c:v>-46.03</c:v>
                </c:pt>
                <c:pt idx="17" formatCode="0.0">
                  <c:v>-40.884999999999998</c:v>
                </c:pt>
              </c:numCache>
            </c:numRef>
          </c:yVal>
          <c:smooth val="0"/>
          <c:extLst>
            <c:ext xmlns:c16="http://schemas.microsoft.com/office/drawing/2014/chart" uri="{C3380CC4-5D6E-409C-BE32-E72D297353CC}">
              <c16:uniqueId val="{00000003-2513-4061-8773-30B07C78C70F}"/>
            </c:ext>
          </c:extLst>
        </c:ser>
        <c:ser>
          <c:idx val="2"/>
          <c:order val="2"/>
          <c:tx>
            <c:strRef>
              <c:f>Sheet3!$G$3</c:f>
              <c:strCache>
                <c:ptCount val="1"/>
                <c:pt idx="0">
                  <c:v>19NP</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dispRSqr val="0"/>
            <c:dispEq val="1"/>
            <c:trendlineLbl>
              <c:layout>
                <c:manualLayout>
                  <c:x val="-0.38776600040379566"/>
                  <c:y val="0.3934898100972672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Sheet3!$G$4:$G$54</c:f>
              <c:numCache>
                <c:formatCode>General</c:formatCode>
                <c:ptCount val="51"/>
                <c:pt idx="12" formatCode="0.0">
                  <c:v>-65.980333333333334</c:v>
                </c:pt>
                <c:pt idx="13" formatCode="0.0">
                  <c:v>-54.731333333333339</c:v>
                </c:pt>
                <c:pt idx="14" formatCode="0.0">
                  <c:v>-46.414999999999999</c:v>
                </c:pt>
              </c:numCache>
            </c:numRef>
          </c:yVal>
          <c:smooth val="0"/>
          <c:extLst>
            <c:ext xmlns:c16="http://schemas.microsoft.com/office/drawing/2014/chart" uri="{C3380CC4-5D6E-409C-BE32-E72D297353CC}">
              <c16:uniqueId val="{00000005-2513-4061-8773-30B07C78C70F}"/>
            </c:ext>
          </c:extLst>
        </c:ser>
        <c:ser>
          <c:idx val="3"/>
          <c:order val="3"/>
          <c:tx>
            <c:strRef>
              <c:f>Sheet3!$H$3</c:f>
              <c:strCache>
                <c:ptCount val="1"/>
                <c:pt idx="0">
                  <c:v>20P</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linear"/>
            <c:dispRSqr val="0"/>
            <c:dispEq val="1"/>
            <c:trendlineLbl>
              <c:layout>
                <c:manualLayout>
                  <c:x val="-0.63426669213323073"/>
                  <c:y val="0.1077603049604378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Sheet3!$H$4:$H$54</c:f>
              <c:numCache>
                <c:formatCode>General</c:formatCode>
                <c:ptCount val="51"/>
                <c:pt idx="22" formatCode="0.00">
                  <c:v>-48.445688766666677</c:v>
                </c:pt>
                <c:pt idx="23" formatCode="0.00">
                  <c:v>-47.785354933333345</c:v>
                </c:pt>
                <c:pt idx="24" formatCode="0.00">
                  <c:v>-48.258903800000006</c:v>
                </c:pt>
                <c:pt idx="25" formatCode="0.0">
                  <c:v>-45.703047043223343</c:v>
                </c:pt>
                <c:pt idx="26" formatCode="0.0">
                  <c:v>-40.338402872253347</c:v>
                </c:pt>
                <c:pt idx="27" formatCode="0.0">
                  <c:v>-45.40877958917001</c:v>
                </c:pt>
                <c:pt idx="28" formatCode="0.0">
                  <c:v>-44.132833208693334</c:v>
                </c:pt>
              </c:numCache>
            </c:numRef>
          </c:yVal>
          <c:smooth val="0"/>
          <c:extLst>
            <c:ext xmlns:c16="http://schemas.microsoft.com/office/drawing/2014/chart" uri="{C3380CC4-5D6E-409C-BE32-E72D297353CC}">
              <c16:uniqueId val="{00000007-2513-4061-8773-30B07C78C70F}"/>
            </c:ext>
          </c:extLst>
        </c:ser>
        <c:ser>
          <c:idx val="4"/>
          <c:order val="4"/>
          <c:tx>
            <c:strRef>
              <c:f>Sheet3!$I$3</c:f>
              <c:strCache>
                <c:ptCount val="1"/>
                <c:pt idx="0">
                  <c:v>20NP</c:v>
                </c:pt>
              </c:strCache>
            </c:strRef>
          </c:tx>
          <c:spPr>
            <a:ln w="2540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1"/>
            <c:trendlineLbl>
              <c:layout>
                <c:manualLayout>
                  <c:x val="-0.63948134020561487"/>
                  <c:y val="0.2348946363212661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Sheet3!$I$4:$I$54</c:f>
              <c:numCache>
                <c:formatCode>General</c:formatCode>
                <c:ptCount val="51"/>
                <c:pt idx="19" formatCode="0.0">
                  <c:v>-58.360934582313348</c:v>
                </c:pt>
                <c:pt idx="20" formatCode="0.0">
                  <c:v>-57.719755496646663</c:v>
                </c:pt>
                <c:pt idx="21" formatCode="0.0">
                  <c:v>-55.842788089026676</c:v>
                </c:pt>
              </c:numCache>
            </c:numRef>
          </c:yVal>
          <c:smooth val="0"/>
          <c:extLst>
            <c:ext xmlns:c16="http://schemas.microsoft.com/office/drawing/2014/chart" uri="{C3380CC4-5D6E-409C-BE32-E72D297353CC}">
              <c16:uniqueId val="{00000009-2513-4061-8773-30B07C78C70F}"/>
            </c:ext>
          </c:extLst>
        </c:ser>
        <c:ser>
          <c:idx val="5"/>
          <c:order val="5"/>
          <c:tx>
            <c:strRef>
              <c:f>Sheet3!$J$3</c:f>
              <c:strCache>
                <c:ptCount val="1"/>
                <c:pt idx="0">
                  <c:v>21P</c:v>
                </c:pt>
              </c:strCache>
            </c:strRef>
          </c:tx>
          <c:spPr>
            <a:ln w="25400" cap="rnd">
              <a:noFill/>
              <a:round/>
            </a:ln>
            <a:effectLst/>
          </c:spPr>
          <c:marker>
            <c:symbol val="circle"/>
            <c:size val="5"/>
            <c:spPr>
              <a:solidFill>
                <a:schemeClr val="accent6"/>
              </a:solidFill>
              <a:ln w="9525">
                <a:solidFill>
                  <a:schemeClr val="accent6"/>
                </a:solidFill>
              </a:ln>
              <a:effectLst/>
            </c:spPr>
          </c:marker>
          <c:trendline>
            <c:spPr>
              <a:ln w="19050" cap="rnd">
                <a:solidFill>
                  <a:srgbClr val="FF0000"/>
                </a:solidFill>
                <a:prstDash val="sysDot"/>
              </a:ln>
              <a:effectLst/>
            </c:spPr>
            <c:trendlineType val="linear"/>
            <c:dispRSqr val="0"/>
            <c:dispEq val="1"/>
            <c:trendlineLbl>
              <c:layout>
                <c:manualLayout>
                  <c:x val="5.8460066397606879E-3"/>
                  <c:y val="0.121341239879847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Sheet3!$J$4:$J$54</c:f>
              <c:numCache>
                <c:formatCode>General</c:formatCode>
                <c:ptCount val="51"/>
                <c:pt idx="31" formatCode="0.00">
                  <c:v>-41.273178000000009</c:v>
                </c:pt>
                <c:pt idx="32" formatCode="0.00">
                  <c:v>-44.640641666666667</c:v>
                </c:pt>
                <c:pt idx="33" formatCode="0.00">
                  <c:v>-43.632560133333335</c:v>
                </c:pt>
                <c:pt idx="34" formatCode="0.00">
                  <c:v>-44.543903999999998</c:v>
                </c:pt>
                <c:pt idx="35" formatCode="0.00">
                  <c:v>-43.248943666666662</c:v>
                </c:pt>
                <c:pt idx="36" formatCode="0.00">
                  <c:v>-44.551911999999987</c:v>
                </c:pt>
                <c:pt idx="37">
                  <c:v>-44.16</c:v>
                </c:pt>
              </c:numCache>
            </c:numRef>
          </c:yVal>
          <c:smooth val="0"/>
          <c:extLst>
            <c:ext xmlns:c16="http://schemas.microsoft.com/office/drawing/2014/chart" uri="{C3380CC4-5D6E-409C-BE32-E72D297353CC}">
              <c16:uniqueId val="{0000000B-2513-4061-8773-30B07C78C70F}"/>
            </c:ext>
          </c:extLst>
        </c:ser>
        <c:ser>
          <c:idx val="6"/>
          <c:order val="6"/>
          <c:tx>
            <c:strRef>
              <c:f>Sheet3!$K$3</c:f>
              <c:strCache>
                <c:ptCount val="1"/>
                <c:pt idx="0">
                  <c:v>21NP</c:v>
                </c:pt>
              </c:strCache>
            </c:strRef>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trendline>
            <c:spPr>
              <a:ln w="19050" cap="rnd">
                <a:solidFill>
                  <a:schemeClr val="accent1">
                    <a:lumMod val="60000"/>
                  </a:schemeClr>
                </a:solidFill>
                <a:prstDash val="sysDot"/>
              </a:ln>
              <a:effectLst/>
            </c:spPr>
            <c:trendlineType val="linear"/>
            <c:dispRSqr val="0"/>
            <c:dispEq val="1"/>
            <c:trendlineLbl>
              <c:layout>
                <c:manualLayout>
                  <c:x val="4.381217855383133E-3"/>
                  <c:y val="-9.1994089317787835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Sheet3!$K$4:$K$54</c:f>
              <c:numCache>
                <c:formatCode>General</c:formatCode>
                <c:ptCount val="51"/>
                <c:pt idx="38" formatCode="0.00">
                  <c:v>-54.756439666666658</c:v>
                </c:pt>
                <c:pt idx="39" formatCode="0.00">
                  <c:v>-49.051703733333326</c:v>
                </c:pt>
                <c:pt idx="40" formatCode="0.00">
                  <c:v>-56.79981433333333</c:v>
                </c:pt>
                <c:pt idx="41" formatCode="0.00">
                  <c:v>-56.92226999999999</c:v>
                </c:pt>
              </c:numCache>
            </c:numRef>
          </c:yVal>
          <c:smooth val="0"/>
          <c:extLst>
            <c:ext xmlns:c16="http://schemas.microsoft.com/office/drawing/2014/chart" uri="{C3380CC4-5D6E-409C-BE32-E72D297353CC}">
              <c16:uniqueId val="{0000000D-2513-4061-8773-30B07C78C70F}"/>
            </c:ext>
          </c:extLst>
        </c:ser>
        <c:ser>
          <c:idx val="7"/>
          <c:order val="7"/>
          <c:tx>
            <c:strRef>
              <c:f>Sheet3!$L$3</c:f>
              <c:strCache>
                <c:ptCount val="1"/>
                <c:pt idx="0">
                  <c:v>GW</c:v>
                </c:pt>
              </c:strCache>
            </c:strRef>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Sheet3!$L$4:$L$54</c:f>
              <c:numCache>
                <c:formatCode>General</c:formatCode>
                <c:ptCount val="51"/>
                <c:pt idx="18" formatCode="0.0">
                  <c:v>-65.251666666666665</c:v>
                </c:pt>
                <c:pt idx="29" formatCode="0.0">
                  <c:v>-72.928523408659998</c:v>
                </c:pt>
                <c:pt idx="30" formatCode="0.0">
                  <c:v>-66.368586436936667</c:v>
                </c:pt>
                <c:pt idx="42" formatCode="0.00">
                  <c:v>-57.002170933333332</c:v>
                </c:pt>
              </c:numCache>
            </c:numRef>
          </c:yVal>
          <c:smooth val="0"/>
          <c:extLst>
            <c:ext xmlns:c16="http://schemas.microsoft.com/office/drawing/2014/chart" uri="{C3380CC4-5D6E-409C-BE32-E72D297353CC}">
              <c16:uniqueId val="{0000000E-2513-4061-8773-30B07C78C70F}"/>
            </c:ext>
          </c:extLst>
        </c:ser>
        <c:ser>
          <c:idx val="8"/>
          <c:order val="8"/>
          <c:tx>
            <c:strRef>
              <c:f>Sheet3!$M$3</c:f>
              <c:strCache>
                <c:ptCount val="1"/>
                <c:pt idx="0">
                  <c:v>Rain</c:v>
                </c:pt>
              </c:strCache>
            </c:strRef>
          </c:tx>
          <c:spPr>
            <a:ln w="25400" cap="rnd">
              <a:noFill/>
              <a:round/>
            </a:ln>
            <a:effectLst/>
          </c:spPr>
          <c:marker>
            <c:symbol val="circle"/>
            <c:size val="5"/>
            <c:spPr>
              <a:solidFill>
                <a:schemeClr val="accent3">
                  <a:lumMod val="60000"/>
                </a:schemeClr>
              </a:solidFill>
              <a:ln w="9525">
                <a:solidFill>
                  <a:schemeClr val="accent3">
                    <a:lumMod val="60000"/>
                  </a:schemeClr>
                </a:solidFill>
              </a:ln>
              <a:effectLst/>
            </c:spPr>
          </c:marker>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Sheet3!$M$4:$M$54</c:f>
              <c:numCache>
                <c:formatCode>General</c:formatCode>
                <c:ptCount val="51"/>
                <c:pt idx="43" formatCode="0.00">
                  <c:v>-16.696751333333332</c:v>
                </c:pt>
                <c:pt idx="44" formatCode="0.00">
                  <c:v>-4.9168519333333336</c:v>
                </c:pt>
                <c:pt idx="45" formatCode="0.00">
                  <c:v>-51.871477400000003</c:v>
                </c:pt>
                <c:pt idx="46" formatCode="0.0">
                  <c:v>-33.512666666666668</c:v>
                </c:pt>
                <c:pt idx="47" formatCode="0.0">
                  <c:v>-27.217854003453333</c:v>
                </c:pt>
                <c:pt idx="48" formatCode="0.0">
                  <c:v>-23.387652623286666</c:v>
                </c:pt>
              </c:numCache>
            </c:numRef>
          </c:yVal>
          <c:smooth val="0"/>
          <c:extLst>
            <c:ext xmlns:c16="http://schemas.microsoft.com/office/drawing/2014/chart" uri="{C3380CC4-5D6E-409C-BE32-E72D297353CC}">
              <c16:uniqueId val="{0000000F-2513-4061-8773-30B07C78C70F}"/>
            </c:ext>
          </c:extLst>
        </c:ser>
        <c:ser>
          <c:idx val="9"/>
          <c:order val="9"/>
          <c:tx>
            <c:strRef>
              <c:f>Sheet3!$N$3</c:f>
              <c:strCache>
                <c:ptCount val="1"/>
                <c:pt idx="0">
                  <c:v>Snow</c:v>
                </c:pt>
              </c:strCache>
            </c:strRef>
          </c:tx>
          <c:spPr>
            <a:ln w="25400" cap="rnd">
              <a:noFill/>
              <a:round/>
            </a:ln>
            <a:effectLst/>
          </c:spPr>
          <c:marker>
            <c:symbol val="circle"/>
            <c:size val="5"/>
            <c:spPr>
              <a:solidFill>
                <a:schemeClr val="accent4">
                  <a:lumMod val="60000"/>
                </a:schemeClr>
              </a:solidFill>
              <a:ln w="9525">
                <a:solidFill>
                  <a:schemeClr val="accent4">
                    <a:lumMod val="60000"/>
                  </a:schemeClr>
                </a:solidFill>
              </a:ln>
              <a:effectLst/>
            </c:spPr>
          </c:marker>
          <c:xVal>
            <c:numRef>
              <c:f>Sheet3!$D$4:$D$54</c:f>
              <c:numCache>
                <c:formatCode>General</c:formatCode>
                <c:ptCount val="51"/>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-6.2356666666666669</c:v>
                </c:pt>
                <c:pt idx="16" formatCode="0.00">
                  <c:v>-4.1226666666666665</c:v>
                </c:pt>
                <c:pt idx="17" formatCode="0.00">
                  <c:v>-3.4090000000000003</c:v>
                </c:pt>
                <c:pt idx="18" formatCode="0.00">
                  <c:v>-8.7746666666666666</c:v>
                </c:pt>
                <c:pt idx="19" formatCode="0.00">
                  <c:v>-7.0409080000000017</c:v>
                </c:pt>
                <c:pt idx="20" formatCode="0.00">
                  <c:v>-7.134072333333334</c:v>
                </c:pt>
                <c:pt idx="21" formatCode="0.00">
                  <c:v>-7.0526796666666662</c:v>
                </c:pt>
                <c:pt idx="22" formatCode="0.00">
                  <c:v>-5.6568963333333331</c:v>
                </c:pt>
                <c:pt idx="23" formatCode="0.00">
                  <c:v>-5.5401886666666664</c:v>
                </c:pt>
                <c:pt idx="24" formatCode="0.00">
                  <c:v>-5.5936656666666655</c:v>
                </c:pt>
                <c:pt idx="25" formatCode="0.00">
                  <c:v>-4.5419513333333335</c:v>
                </c:pt>
                <c:pt idx="26" formatCode="0.00">
                  <c:v>-1.7275140000000002</c:v>
                </c:pt>
                <c:pt idx="27" formatCode="0.00">
                  <c:v>-5.0034006666666659</c:v>
                </c:pt>
                <c:pt idx="28" formatCode="0.00">
                  <c:v>-4.887702</c:v>
                </c:pt>
                <c:pt idx="29" formatCode="0.00">
                  <c:v>-9.7880786666666637</c:v>
                </c:pt>
                <c:pt idx="30" formatCode="0.00">
                  <c:v>-9.7668896666666676</c:v>
                </c:pt>
                <c:pt idx="31" formatCode="0.00">
                  <c:v>-4.0835593000000001</c:v>
                </c:pt>
                <c:pt idx="32" formatCode="0.00">
                  <c:v>-4.7592739999999996</c:v>
                </c:pt>
                <c:pt idx="33" formatCode="0.00">
                  <c:v>-4.6473700999999998</c:v>
                </c:pt>
                <c:pt idx="34" formatCode="0.00">
                  <c:v>-4.8036940000000001</c:v>
                </c:pt>
                <c:pt idx="35" formatCode="0.00">
                  <c:v>-4.5801955999999997</c:v>
                </c:pt>
                <c:pt idx="36" formatCode="0.00">
                  <c:v>-4.8292272000000001</c:v>
                </c:pt>
                <c:pt idx="37">
                  <c:v>-4.82</c:v>
                </c:pt>
                <c:pt idx="38" formatCode="0.00">
                  <c:v>-6.9272604000000015</c:v>
                </c:pt>
                <c:pt idx="39" formatCode="0.00">
                  <c:v>-5.5683490999999998</c:v>
                </c:pt>
                <c:pt idx="40" formatCode="0.00">
                  <c:v>-7.245928000000001</c:v>
                </c:pt>
                <c:pt idx="41" formatCode="0.00">
                  <c:v>-7.2678136000000002</c:v>
                </c:pt>
                <c:pt idx="42" formatCode="0.00">
                  <c:v>-7.2346938999999999</c:v>
                </c:pt>
                <c:pt idx="43" formatCode="0.00">
                  <c:v>-2.318352</c:v>
                </c:pt>
                <c:pt idx="44" formatCode="0.00">
                  <c:v>-1.6804313</c:v>
                </c:pt>
                <c:pt idx="45" formatCode="0.00">
                  <c:v>-7.6955135000000006</c:v>
                </c:pt>
                <c:pt idx="46" formatCode="0.00">
                  <c:v>-2.3040000000000003</c:v>
                </c:pt>
                <c:pt idx="47" formatCode="0.00">
                  <c:v>-4.1040453333333335</c:v>
                </c:pt>
                <c:pt idx="48" formatCode="0.00">
                  <c:v>-4.3838746666666664</c:v>
                </c:pt>
                <c:pt idx="49" formatCode="0.00">
                  <c:v>-16.176394000000002</c:v>
                </c:pt>
                <c:pt idx="50" formatCode="0.00">
                  <c:v>-15.379283999999998</c:v>
                </c:pt>
              </c:numCache>
            </c:numRef>
          </c:xVal>
          <c:yVal>
            <c:numRef>
              <c:f>Sheet3!$N$4:$N$54</c:f>
              <c:numCache>
                <c:formatCode>General</c:formatCode>
                <c:ptCount val="51"/>
                <c:pt idx="49" formatCode="0.0">
                  <c:v>-123.86244012331333</c:v>
                </c:pt>
                <c:pt idx="50" formatCode="0.0">
                  <c:v>-113.17398476525</c:v>
                </c:pt>
              </c:numCache>
            </c:numRef>
          </c:yVal>
          <c:smooth val="0"/>
          <c:extLst>
            <c:ext xmlns:c16="http://schemas.microsoft.com/office/drawing/2014/chart" uri="{C3380CC4-5D6E-409C-BE32-E72D297353CC}">
              <c16:uniqueId val="{00000010-2513-4061-8773-30B07C78C70F}"/>
            </c:ext>
          </c:extLst>
        </c:ser>
        <c:dLbls>
          <c:showLegendKey val="0"/>
          <c:showVal val="0"/>
          <c:showCatName val="0"/>
          <c:showSerName val="0"/>
          <c:showPercent val="0"/>
          <c:showBubbleSize val="0"/>
        </c:dLbls>
        <c:axId val="1702476591"/>
        <c:axId val="1702477007"/>
      </c:scatterChart>
      <c:valAx>
        <c:axId val="17024765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2477007"/>
        <c:crosses val="autoZero"/>
        <c:crossBetween val="midCat"/>
      </c:valAx>
      <c:valAx>
        <c:axId val="17024770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2476591"/>
        <c:crosses val="autoZero"/>
        <c:crossBetween val="midCat"/>
      </c:valAx>
      <c:spPr>
        <a:noFill/>
        <a:ln w="25400">
          <a:noFill/>
        </a:ln>
        <a:effectLst/>
      </c:spPr>
    </c:plotArea>
    <c:legend>
      <c:legendPos val="b"/>
      <c:layout>
        <c:manualLayout>
          <c:xMode val="edge"/>
          <c:yMode val="edge"/>
          <c:x val="6.8989669560535719E-2"/>
          <c:y val="0.84999861046780922"/>
          <c:w val="0.86629399690423314"/>
          <c:h val="0.13235433070866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Pipe Lake August Dissolved</a:t>
            </a:r>
            <a:r>
              <a:rPr lang="en-US" baseline="0"/>
              <a:t> Oxygen Profiles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2"/>
          <c:order val="2"/>
          <c:tx>
            <c:strRef>
              <c:f>'PL Sum Analysis'!$EK$6</c:f>
              <c:strCache>
                <c:ptCount val="1"/>
                <c:pt idx="0">
                  <c:v>2017</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'PL Sum Analysis'!$EL$8:$EL$20</c:f>
              <c:numCache>
                <c:formatCode>General</c:formatCode>
                <c:ptCount val="13"/>
                <c:pt idx="0">
                  <c:v>7.7</c:v>
                </c:pt>
                <c:pt idx="1">
                  <c:v>6.65</c:v>
                </c:pt>
                <c:pt idx="2">
                  <c:v>6.63</c:v>
                </c:pt>
                <c:pt idx="3">
                  <c:v>6.7</c:v>
                </c:pt>
                <c:pt idx="4">
                  <c:v>6.45</c:v>
                </c:pt>
                <c:pt idx="5">
                  <c:v>5.86</c:v>
                </c:pt>
                <c:pt idx="6">
                  <c:v>5.46</c:v>
                </c:pt>
                <c:pt idx="7">
                  <c:v>4.3</c:v>
                </c:pt>
                <c:pt idx="8">
                  <c:v>3.24</c:v>
                </c:pt>
                <c:pt idx="9">
                  <c:v>2</c:v>
                </c:pt>
                <c:pt idx="10">
                  <c:v>1.25</c:v>
                </c:pt>
                <c:pt idx="11">
                  <c:v>0.5</c:v>
                </c:pt>
                <c:pt idx="12">
                  <c:v>0.38</c:v>
                </c:pt>
              </c:numCache>
            </c:numRef>
          </c:xVal>
          <c:yVal>
            <c:numRef>
              <c:f>'PL Sum Analysis'!$EK$8:$EK$20</c:f>
              <c:numCache>
                <c:formatCode>General</c:formatCode>
                <c:ptCount val="13"/>
                <c:pt idx="0">
                  <c:v>3</c:v>
                </c:pt>
                <c:pt idx="1">
                  <c:v>5</c:v>
                </c:pt>
                <c:pt idx="2">
                  <c:v>10</c:v>
                </c:pt>
                <c:pt idx="3">
                  <c:v>15</c:v>
                </c:pt>
                <c:pt idx="4">
                  <c:v>20</c:v>
                </c:pt>
                <c:pt idx="5">
                  <c:v>22</c:v>
                </c:pt>
                <c:pt idx="6">
                  <c:v>24</c:v>
                </c:pt>
                <c:pt idx="7">
                  <c:v>26</c:v>
                </c:pt>
                <c:pt idx="8">
                  <c:v>30</c:v>
                </c:pt>
                <c:pt idx="9">
                  <c:v>35</c:v>
                </c:pt>
                <c:pt idx="10">
                  <c:v>40</c:v>
                </c:pt>
                <c:pt idx="11">
                  <c:v>45</c:v>
                </c:pt>
                <c:pt idx="12">
                  <c:v>50</c:v>
                </c:pt>
              </c:numCache>
            </c:numRef>
          </c:yVal>
          <c:smooth val="1"/>
          <c:extLst>
            <c:ext xmlns:c16="http://schemas.microsoft.com/office/drawing/2014/chart" uri="{C3380CC4-5D6E-409C-BE32-E72D297353CC}">
              <c16:uniqueId val="{00000000-8A29-46BC-91C6-C2317C894C9A}"/>
            </c:ext>
          </c:extLst>
        </c:ser>
        <c:ser>
          <c:idx val="3"/>
          <c:order val="3"/>
          <c:tx>
            <c:strRef>
              <c:f>'PL Sum Analysis'!$EM$6</c:f>
              <c:strCache>
                <c:ptCount val="1"/>
                <c:pt idx="0">
                  <c:v>2018</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'PL Sum Analysis'!$EN$8:$EN$20</c:f>
              <c:numCache>
                <c:formatCode>General</c:formatCode>
                <c:ptCount val="13"/>
                <c:pt idx="0">
                  <c:v>6.12</c:v>
                </c:pt>
                <c:pt idx="1">
                  <c:v>5.98</c:v>
                </c:pt>
                <c:pt idx="2">
                  <c:v>6</c:v>
                </c:pt>
                <c:pt idx="3">
                  <c:v>5.97</c:v>
                </c:pt>
                <c:pt idx="4">
                  <c:v>5.91</c:v>
                </c:pt>
                <c:pt idx="5">
                  <c:v>5.62</c:v>
                </c:pt>
                <c:pt idx="6">
                  <c:v>5.1100000000000003</c:v>
                </c:pt>
                <c:pt idx="7">
                  <c:v>4.95</c:v>
                </c:pt>
                <c:pt idx="8">
                  <c:v>4.8099999999999996</c:v>
                </c:pt>
                <c:pt idx="9">
                  <c:v>4.1399999999999997</c:v>
                </c:pt>
                <c:pt idx="10">
                  <c:v>3.09</c:v>
                </c:pt>
                <c:pt idx="11">
                  <c:v>2.56</c:v>
                </c:pt>
                <c:pt idx="12">
                  <c:v>3.02</c:v>
                </c:pt>
              </c:numCache>
            </c:numRef>
          </c:xVal>
          <c:yVal>
            <c:numRef>
              <c:f>'PL Sum Analysis'!$EM$8:$EM$20</c:f>
              <c:numCache>
                <c:formatCode>General</c:formatCode>
                <c:ptCount val="13"/>
                <c:pt idx="0">
                  <c:v>0</c:v>
                </c:pt>
                <c:pt idx="1">
                  <c:v>5</c:v>
                </c:pt>
                <c:pt idx="2">
                  <c:v>10</c:v>
                </c:pt>
                <c:pt idx="3">
                  <c:v>15</c:v>
                </c:pt>
                <c:pt idx="4">
                  <c:v>18</c:v>
                </c:pt>
                <c:pt idx="5">
                  <c:v>20</c:v>
                </c:pt>
                <c:pt idx="6">
                  <c:v>22</c:v>
                </c:pt>
                <c:pt idx="7">
                  <c:v>24</c:v>
                </c:pt>
                <c:pt idx="8">
                  <c:v>28</c:v>
                </c:pt>
                <c:pt idx="9">
                  <c:v>30</c:v>
                </c:pt>
                <c:pt idx="10">
                  <c:v>35</c:v>
                </c:pt>
                <c:pt idx="11">
                  <c:v>40</c:v>
                </c:pt>
                <c:pt idx="12">
                  <c:v>45</c:v>
                </c:pt>
              </c:numCache>
            </c:numRef>
          </c:yVal>
          <c:smooth val="1"/>
          <c:extLst>
            <c:ext xmlns:c16="http://schemas.microsoft.com/office/drawing/2014/chart" uri="{C3380CC4-5D6E-409C-BE32-E72D297353CC}">
              <c16:uniqueId val="{00000001-8A29-46BC-91C6-C2317C894C9A}"/>
            </c:ext>
          </c:extLst>
        </c:ser>
        <c:ser>
          <c:idx val="6"/>
          <c:order val="4"/>
          <c:tx>
            <c:strRef>
              <c:f>'PL Sum Analysis'!$EO$6</c:f>
              <c:strCache>
                <c:ptCount val="1"/>
                <c:pt idx="0">
                  <c:v>2019</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'PL Sum Analysis'!$EP$8:$EP$20</c:f>
              <c:numCache>
                <c:formatCode>General</c:formatCode>
                <c:ptCount val="13"/>
                <c:pt idx="0">
                  <c:v>5.45</c:v>
                </c:pt>
                <c:pt idx="1">
                  <c:v>5.31</c:v>
                </c:pt>
                <c:pt idx="2">
                  <c:v>5.28</c:v>
                </c:pt>
                <c:pt idx="3">
                  <c:v>5.3</c:v>
                </c:pt>
                <c:pt idx="4">
                  <c:v>5</c:v>
                </c:pt>
                <c:pt idx="5">
                  <c:v>1.85</c:v>
                </c:pt>
                <c:pt idx="6">
                  <c:v>0.91</c:v>
                </c:pt>
                <c:pt idx="7">
                  <c:v>0.71</c:v>
                </c:pt>
                <c:pt idx="8">
                  <c:v>0.84</c:v>
                </c:pt>
                <c:pt idx="9">
                  <c:v>0.94</c:v>
                </c:pt>
                <c:pt idx="10">
                  <c:v>0.52</c:v>
                </c:pt>
                <c:pt idx="11">
                  <c:v>0.35</c:v>
                </c:pt>
                <c:pt idx="12">
                  <c:v>0.3</c:v>
                </c:pt>
              </c:numCache>
            </c:numRef>
          </c:xVal>
          <c:yVal>
            <c:numRef>
              <c:f>'PL Sum Analysis'!$EO$8:$EO$19</c:f>
              <c:numCache>
                <c:formatCode>General</c:formatCode>
                <c:ptCount val="12"/>
                <c:pt idx="0">
                  <c:v>3</c:v>
                </c:pt>
                <c:pt idx="1">
                  <c:v>5</c:v>
                </c:pt>
                <c:pt idx="2">
                  <c:v>10</c:v>
                </c:pt>
                <c:pt idx="3">
                  <c:v>15</c:v>
                </c:pt>
                <c:pt idx="4">
                  <c:v>18</c:v>
                </c:pt>
                <c:pt idx="5">
                  <c:v>19</c:v>
                </c:pt>
                <c:pt idx="6">
                  <c:v>20</c:v>
                </c:pt>
                <c:pt idx="7">
                  <c:v>25</c:v>
                </c:pt>
                <c:pt idx="8">
                  <c:v>30</c:v>
                </c:pt>
                <c:pt idx="9">
                  <c:v>35</c:v>
                </c:pt>
                <c:pt idx="10">
                  <c:v>40</c:v>
                </c:pt>
                <c:pt idx="11">
                  <c:v>45</c:v>
                </c:pt>
              </c:numCache>
            </c:numRef>
          </c:yVal>
          <c:smooth val="1"/>
          <c:extLst>
            <c:ext xmlns:c16="http://schemas.microsoft.com/office/drawing/2014/chart" uri="{C3380CC4-5D6E-409C-BE32-E72D297353CC}">
              <c16:uniqueId val="{00000002-8A29-46BC-91C6-C2317C894C9A}"/>
            </c:ext>
          </c:extLst>
        </c:ser>
        <c:ser>
          <c:idx val="4"/>
          <c:order val="5"/>
          <c:tx>
            <c:strRef>
              <c:f>'PL Sum Analysis'!$EQ$6</c:f>
              <c:strCache>
                <c:ptCount val="1"/>
                <c:pt idx="0">
                  <c:v>2020</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'PL Sum Analysis'!$ER$8:$ER$20</c:f>
              <c:numCache>
                <c:formatCode>General</c:formatCode>
                <c:ptCount val="13"/>
                <c:pt idx="0">
                  <c:v>6.8949999999999996</c:v>
                </c:pt>
                <c:pt idx="1">
                  <c:v>6.76</c:v>
                </c:pt>
                <c:pt idx="2">
                  <c:v>6.63</c:v>
                </c:pt>
                <c:pt idx="3">
                  <c:v>6.11</c:v>
                </c:pt>
                <c:pt idx="4">
                  <c:v>6.04</c:v>
                </c:pt>
                <c:pt idx="5">
                  <c:v>5.52</c:v>
                </c:pt>
                <c:pt idx="6">
                  <c:v>4.93</c:v>
                </c:pt>
                <c:pt idx="7">
                  <c:v>0.7</c:v>
                </c:pt>
                <c:pt idx="8">
                  <c:v>0.54</c:v>
                </c:pt>
                <c:pt idx="9">
                  <c:v>0.61</c:v>
                </c:pt>
                <c:pt idx="10">
                  <c:v>1.53</c:v>
                </c:pt>
                <c:pt idx="11">
                  <c:v>1.57</c:v>
                </c:pt>
                <c:pt idx="12">
                  <c:v>0.46</c:v>
                </c:pt>
              </c:numCache>
            </c:numRef>
          </c:xVal>
          <c:yVal>
            <c:numRef>
              <c:f>'PL Sum Analysis'!$EQ$8:$EQ$20</c:f>
              <c:numCache>
                <c:formatCode>General</c:formatCode>
                <c:ptCount val="13"/>
                <c:pt idx="0">
                  <c:v>0</c:v>
                </c:pt>
                <c:pt idx="1">
                  <c:v>3</c:v>
                </c:pt>
                <c:pt idx="2">
                  <c:v>6</c:v>
                </c:pt>
                <c:pt idx="3">
                  <c:v>9</c:v>
                </c:pt>
                <c:pt idx="4">
                  <c:v>12</c:v>
                </c:pt>
                <c:pt idx="5">
                  <c:v>15</c:v>
                </c:pt>
                <c:pt idx="6">
                  <c:v>18</c:v>
                </c:pt>
                <c:pt idx="7">
                  <c:v>21</c:v>
                </c:pt>
                <c:pt idx="8">
                  <c:v>24</c:v>
                </c:pt>
                <c:pt idx="9">
                  <c:v>27</c:v>
                </c:pt>
                <c:pt idx="10">
                  <c:v>30</c:v>
                </c:pt>
                <c:pt idx="11">
                  <c:v>33</c:v>
                </c:pt>
                <c:pt idx="12">
                  <c:v>45</c:v>
                </c:pt>
              </c:numCache>
            </c:numRef>
          </c:yVal>
          <c:smooth val="1"/>
          <c:extLst>
            <c:ext xmlns:c16="http://schemas.microsoft.com/office/drawing/2014/chart" uri="{C3380CC4-5D6E-409C-BE32-E72D297353CC}">
              <c16:uniqueId val="{00000003-8A29-46BC-91C6-C2317C894C9A}"/>
            </c:ext>
          </c:extLst>
        </c:ser>
        <c:ser>
          <c:idx val="5"/>
          <c:order val="6"/>
          <c:tx>
            <c:strRef>
              <c:f>'PL Sum Analysis'!$ES$6</c:f>
              <c:strCache>
                <c:ptCount val="1"/>
                <c:pt idx="0">
                  <c:v>2021</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'PL Sum Analysis'!$ET$8:$ET$27</c:f>
              <c:numCache>
                <c:formatCode>General</c:formatCode>
                <c:ptCount val="20"/>
                <c:pt idx="0">
                  <c:v>8.48</c:v>
                </c:pt>
                <c:pt idx="1">
                  <c:v>8.51</c:v>
                </c:pt>
                <c:pt idx="2">
                  <c:v>8.5</c:v>
                </c:pt>
                <c:pt idx="3">
                  <c:v>8.48</c:v>
                </c:pt>
                <c:pt idx="4">
                  <c:v>8.42</c:v>
                </c:pt>
                <c:pt idx="5">
                  <c:v>8.31</c:v>
                </c:pt>
                <c:pt idx="6">
                  <c:v>7.15</c:v>
                </c:pt>
                <c:pt idx="7">
                  <c:v>5.01</c:v>
                </c:pt>
                <c:pt idx="8">
                  <c:v>3.38</c:v>
                </c:pt>
                <c:pt idx="9">
                  <c:v>2.0099999999999998</c:v>
                </c:pt>
                <c:pt idx="10">
                  <c:v>1.27</c:v>
                </c:pt>
                <c:pt idx="11">
                  <c:v>0.65</c:v>
                </c:pt>
                <c:pt idx="12">
                  <c:v>0.21</c:v>
                </c:pt>
                <c:pt idx="13">
                  <c:v>0.14000000000000001</c:v>
                </c:pt>
                <c:pt idx="14">
                  <c:v>0.11</c:v>
                </c:pt>
                <c:pt idx="15">
                  <c:v>0.09</c:v>
                </c:pt>
                <c:pt idx="16">
                  <c:v>0.06</c:v>
                </c:pt>
                <c:pt idx="17">
                  <c:v>0.05</c:v>
                </c:pt>
                <c:pt idx="18">
                  <c:v>0.04</c:v>
                </c:pt>
                <c:pt idx="19">
                  <c:v>0.03</c:v>
                </c:pt>
              </c:numCache>
            </c:numRef>
          </c:xVal>
          <c:yVal>
            <c:numRef>
              <c:f>'PL Sum Analysis'!$ES$8:$ES$27</c:f>
              <c:numCache>
                <c:formatCode>General</c:formatCode>
                <c:ptCount val="20"/>
                <c:pt idx="0">
                  <c:v>0</c:v>
                </c:pt>
                <c:pt idx="1">
                  <c:v>3</c:v>
                </c:pt>
                <c:pt idx="2">
                  <c:v>7</c:v>
                </c:pt>
                <c:pt idx="3">
                  <c:v>10</c:v>
                </c:pt>
                <c:pt idx="4">
                  <c:v>13</c:v>
                </c:pt>
                <c:pt idx="5">
                  <c:v>16</c:v>
                </c:pt>
                <c:pt idx="6">
                  <c:v>20</c:v>
                </c:pt>
                <c:pt idx="7">
                  <c:v>23</c:v>
                </c:pt>
                <c:pt idx="8">
                  <c:v>26</c:v>
                </c:pt>
                <c:pt idx="9">
                  <c:v>30</c:v>
                </c:pt>
                <c:pt idx="10">
                  <c:v>33</c:v>
                </c:pt>
                <c:pt idx="11">
                  <c:v>36</c:v>
                </c:pt>
                <c:pt idx="12">
                  <c:v>39</c:v>
                </c:pt>
                <c:pt idx="13">
                  <c:v>43</c:v>
                </c:pt>
                <c:pt idx="14">
                  <c:v>46</c:v>
                </c:pt>
                <c:pt idx="15">
                  <c:v>49</c:v>
                </c:pt>
                <c:pt idx="16">
                  <c:v>52</c:v>
                </c:pt>
                <c:pt idx="17">
                  <c:v>56</c:v>
                </c:pt>
                <c:pt idx="18">
                  <c:v>59</c:v>
                </c:pt>
                <c:pt idx="19">
                  <c:v>62</c:v>
                </c:pt>
              </c:numCache>
            </c:numRef>
          </c:yVal>
          <c:smooth val="1"/>
          <c:extLst>
            <c:ext xmlns:c16="http://schemas.microsoft.com/office/drawing/2014/chart" uri="{C3380CC4-5D6E-409C-BE32-E72D297353CC}">
              <c16:uniqueId val="{00000004-8A29-46BC-91C6-C2317C894C9A}"/>
            </c:ext>
          </c:extLst>
        </c:ser>
        <c:dLbls>
          <c:showLegendKey val="0"/>
          <c:showVal val="0"/>
          <c:showCatName val="0"/>
          <c:showSerName val="0"/>
          <c:showPercent val="0"/>
          <c:showBubbleSize val="0"/>
        </c:dLbls>
        <c:axId val="404013679"/>
        <c:axId val="404014095"/>
        <c:extLst>
          <c:ext xmlns:c15="http://schemas.microsoft.com/office/drawing/2012/chart" uri="{02D57815-91ED-43cb-92C2-25804820EDAC}">
            <c15:filteredScatterSeries>
              <c15:ser>
                <c:idx val="1"/>
                <c:order val="0"/>
                <c:tx>
                  <c:strRef>
                    <c:extLst>
                      <c:ext uri="{02D57815-91ED-43cb-92C2-25804820EDAC}">
                        <c15:formulaRef>
                          <c15:sqref>'PL Sum Analysis'!$EG$6</c15:sqref>
                        </c15:formulaRef>
                      </c:ext>
                    </c:extLst>
                    <c:strCache>
                      <c:ptCount val="1"/>
                      <c:pt idx="0">
                        <c:v>2015</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c:ext uri="{02D57815-91ED-43cb-92C2-25804820EDAC}">
                        <c15:formulaRef>
                          <c15:sqref>'PL Sum Analysis'!$EH$8:$EH$27</c15:sqref>
                        </c15:formulaRef>
                      </c:ext>
                    </c:extLst>
                    <c:numCache>
                      <c:formatCode>General</c:formatCode>
                      <c:ptCount val="20"/>
                      <c:pt idx="0">
                        <c:v>4.12</c:v>
                      </c:pt>
                      <c:pt idx="1">
                        <c:v>5.3</c:v>
                      </c:pt>
                      <c:pt idx="2">
                        <c:v>5.75</c:v>
                      </c:pt>
                      <c:pt idx="3">
                        <c:v>6.04</c:v>
                      </c:pt>
                      <c:pt idx="4">
                        <c:v>6.51</c:v>
                      </c:pt>
                      <c:pt idx="5">
                        <c:v>7.04</c:v>
                      </c:pt>
                      <c:pt idx="6">
                        <c:v>7.26</c:v>
                      </c:pt>
                      <c:pt idx="7">
                        <c:v>7.43</c:v>
                      </c:pt>
                      <c:pt idx="8">
                        <c:v>4.2</c:v>
                      </c:pt>
                      <c:pt idx="9">
                        <c:v>2.75</c:v>
                      </c:pt>
                      <c:pt idx="10">
                        <c:v>1.08</c:v>
                      </c:pt>
                      <c:pt idx="11">
                        <c:v>0.26</c:v>
                      </c:pt>
                      <c:pt idx="12">
                        <c:v>0.08</c:v>
                      </c:pt>
                      <c:pt idx="13">
                        <c:v>0</c:v>
                      </c:pt>
                      <c:pt idx="14">
                        <c:v>0</c:v>
                      </c:pt>
                      <c:pt idx="15">
                        <c:v>0</c:v>
                      </c:pt>
                      <c:pt idx="16">
                        <c:v>0</c:v>
                      </c:pt>
                      <c:pt idx="17">
                        <c:v>0</c:v>
                      </c:pt>
                      <c:pt idx="18">
                        <c:v>0</c:v>
                      </c:pt>
                      <c:pt idx="19">
                        <c:v>0</c:v>
                      </c:pt>
                    </c:numCache>
                  </c:numRef>
                </c:xVal>
                <c:yVal>
                  <c:numRef>
                    <c:extLst>
                      <c:ext uri="{02D57815-91ED-43cb-92C2-25804820EDAC}">
                        <c15:formulaRef>
                          <c15:sqref>'PL Sum Analysis'!$EG$8:$EG$27</c15:sqref>
                        </c15:formulaRef>
                      </c:ext>
                    </c:extLst>
                    <c:numCache>
                      <c:formatCode>General</c:formatCode>
                      <c:ptCount val="20"/>
                      <c:pt idx="0">
                        <c:v>0</c:v>
                      </c:pt>
                      <c:pt idx="1">
                        <c:v>3</c:v>
                      </c:pt>
                      <c:pt idx="2">
                        <c:v>7</c:v>
                      </c:pt>
                      <c:pt idx="3">
                        <c:v>10</c:v>
                      </c:pt>
                      <c:pt idx="4">
                        <c:v>13</c:v>
                      </c:pt>
                      <c:pt idx="5">
                        <c:v>16</c:v>
                      </c:pt>
                      <c:pt idx="6">
                        <c:v>20</c:v>
                      </c:pt>
                      <c:pt idx="7">
                        <c:v>23</c:v>
                      </c:pt>
                      <c:pt idx="8">
                        <c:v>26</c:v>
                      </c:pt>
                      <c:pt idx="9">
                        <c:v>30</c:v>
                      </c:pt>
                      <c:pt idx="10">
                        <c:v>33</c:v>
                      </c:pt>
                      <c:pt idx="11">
                        <c:v>36</c:v>
                      </c:pt>
                      <c:pt idx="12">
                        <c:v>39</c:v>
                      </c:pt>
                      <c:pt idx="13">
                        <c:v>43</c:v>
                      </c:pt>
                      <c:pt idx="14">
                        <c:v>46</c:v>
                      </c:pt>
                      <c:pt idx="15">
                        <c:v>49</c:v>
                      </c:pt>
                      <c:pt idx="16">
                        <c:v>52</c:v>
                      </c:pt>
                      <c:pt idx="17">
                        <c:v>56</c:v>
                      </c:pt>
                      <c:pt idx="18">
                        <c:v>59</c:v>
                      </c:pt>
                      <c:pt idx="19">
                        <c:v>62</c:v>
                      </c:pt>
                    </c:numCache>
                  </c:numRef>
                </c:yVal>
                <c:smooth val="1"/>
                <c:extLst>
                  <c:ext xmlns:c16="http://schemas.microsoft.com/office/drawing/2014/chart" uri="{C3380CC4-5D6E-409C-BE32-E72D297353CC}">
                    <c16:uniqueId val="{00000005-8A29-46BC-91C6-C2317C894C9A}"/>
                  </c:ext>
                </c:extLst>
              </c15:ser>
            </c15:filteredScatterSeries>
            <c15:filteredScatterSeries>
              <c15:ser>
                <c:idx val="0"/>
                <c:order val="1"/>
                <c:tx>
                  <c:strRef>
                    <c:extLst xmlns:c15="http://schemas.microsoft.com/office/drawing/2012/chart">
                      <c:ext xmlns:c15="http://schemas.microsoft.com/office/drawing/2012/chart" uri="{02D57815-91ED-43cb-92C2-25804820EDAC}">
                        <c15:formulaRef>
                          <c15:sqref>'PL Sum Analysis'!$EI$6</c15:sqref>
                        </c15:formulaRef>
                      </c:ext>
                    </c:extLst>
                    <c:strCache>
                      <c:ptCount val="1"/>
                      <c:pt idx="0">
                        <c:v>2016</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'PL Sum Analysis'!$EJ$8:$EJ$28</c15:sqref>
                        </c15:formulaRef>
                      </c:ext>
                    </c:extLst>
                    <c:numCache>
                      <c:formatCode>General</c:formatCode>
                      <c:ptCount val="21"/>
                      <c:pt idx="0">
                        <c:v>10.6</c:v>
                      </c:pt>
                      <c:pt idx="1">
                        <c:v>10.42</c:v>
                      </c:pt>
                      <c:pt idx="2">
                        <c:v>9.7799999999999994</c:v>
                      </c:pt>
                      <c:pt idx="3">
                        <c:v>9.6999999999999993</c:v>
                      </c:pt>
                      <c:pt idx="4">
                        <c:v>9.8000000000000007</c:v>
                      </c:pt>
                      <c:pt idx="5">
                        <c:v>10.029999999999999</c:v>
                      </c:pt>
                      <c:pt idx="6">
                        <c:v>9.4499999999999993</c:v>
                      </c:pt>
                      <c:pt idx="7">
                        <c:v>8.9700000000000006</c:v>
                      </c:pt>
                      <c:pt idx="8">
                        <c:v>7.25</c:v>
                      </c:pt>
                      <c:pt idx="9">
                        <c:v>0.97</c:v>
                      </c:pt>
                      <c:pt idx="10">
                        <c:v>0.1</c:v>
                      </c:pt>
                      <c:pt idx="11">
                        <c:v>0.23</c:v>
                      </c:pt>
                      <c:pt idx="12">
                        <c:v>0</c:v>
                      </c:pt>
                      <c:pt idx="13">
                        <c:v>0</c:v>
                      </c:pt>
                      <c:pt idx="14">
                        <c:v>0</c:v>
                      </c:pt>
                      <c:pt idx="15">
                        <c:v>0</c:v>
                      </c:pt>
                      <c:pt idx="16">
                        <c:v>0</c:v>
                      </c:pt>
                      <c:pt idx="17">
                        <c:v>0</c:v>
                      </c:pt>
                      <c:pt idx="18">
                        <c:v>0</c:v>
                      </c:pt>
                      <c:pt idx="19">
                        <c:v>0</c:v>
                      </c:pt>
                      <c:pt idx="20">
                        <c:v>0</c:v>
                      </c:pt>
                    </c:numCache>
                  </c:numRef>
                </c:xVal>
                <c:yVal>
                  <c:numRef>
                    <c:extLst xmlns:c15="http://schemas.microsoft.com/office/drawing/2012/chart">
                      <c:ext xmlns:c15="http://schemas.microsoft.com/office/drawing/2012/chart" uri="{02D57815-91ED-43cb-92C2-25804820EDAC}">
                        <c15:formulaRef>
                          <c15:sqref>'PL Sum Analysis'!$EI$8:$EI$28</c15:sqref>
                        </c15:formulaRef>
                      </c:ext>
                    </c:extLst>
                    <c:numCache>
                      <c:formatCode>General</c:formatCode>
                      <c:ptCount val="21"/>
                      <c:pt idx="0">
                        <c:v>0</c:v>
                      </c:pt>
                      <c:pt idx="1">
                        <c:v>3</c:v>
                      </c:pt>
                      <c:pt idx="2">
                        <c:v>7</c:v>
                      </c:pt>
                      <c:pt idx="3">
                        <c:v>10</c:v>
                      </c:pt>
                      <c:pt idx="4">
                        <c:v>13</c:v>
                      </c:pt>
                      <c:pt idx="5">
                        <c:v>16</c:v>
                      </c:pt>
                      <c:pt idx="6">
                        <c:v>20</c:v>
                      </c:pt>
                      <c:pt idx="7">
                        <c:v>23</c:v>
                      </c:pt>
                      <c:pt idx="8">
                        <c:v>26</c:v>
                      </c:pt>
                      <c:pt idx="9">
                        <c:v>30</c:v>
                      </c:pt>
                      <c:pt idx="10">
                        <c:v>33</c:v>
                      </c:pt>
                      <c:pt idx="11">
                        <c:v>36</c:v>
                      </c:pt>
                      <c:pt idx="12">
                        <c:v>39</c:v>
                      </c:pt>
                      <c:pt idx="13">
                        <c:v>43</c:v>
                      </c:pt>
                      <c:pt idx="14">
                        <c:v>46</c:v>
                      </c:pt>
                      <c:pt idx="15">
                        <c:v>49</c:v>
                      </c:pt>
                      <c:pt idx="16">
                        <c:v>52</c:v>
                      </c:pt>
                      <c:pt idx="17">
                        <c:v>56</c:v>
                      </c:pt>
                      <c:pt idx="18">
                        <c:v>59</c:v>
                      </c:pt>
                      <c:pt idx="19">
                        <c:v>62</c:v>
                      </c:pt>
                      <c:pt idx="20">
                        <c:v>66</c:v>
                      </c:pt>
                    </c:numCache>
                  </c:numRef>
                </c:yVal>
                <c:smooth val="1"/>
                <c:extLst xmlns:c15="http://schemas.microsoft.com/office/drawing/2012/chart">
                  <c:ext xmlns:c16="http://schemas.microsoft.com/office/drawing/2014/chart" uri="{C3380CC4-5D6E-409C-BE32-E72D297353CC}">
                    <c16:uniqueId val="{00000006-8A29-46BC-91C6-C2317C894C9A}"/>
                  </c:ext>
                </c:extLst>
              </c15:ser>
            </c15:filteredScatterSeries>
          </c:ext>
        </c:extLst>
      </c:scatterChart>
      <c:valAx>
        <c:axId val="404013679"/>
        <c:scaling>
          <c:orientation val="minMax"/>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Dissolved Oxygen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04014095"/>
        <c:crosses val="autoZero"/>
        <c:crossBetween val="midCat"/>
      </c:valAx>
      <c:valAx>
        <c:axId val="40401409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Depth (ft)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04013679"/>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North Pipe Lake August Dissolved</a:t>
            </a:r>
            <a:r>
              <a:rPr lang="en-US" baseline="0"/>
              <a:t> Oxygen Profiles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2"/>
          <c:order val="0"/>
          <c:tx>
            <c:strRef>
              <c:f>'NP Sum Analysis'!$EJ$6</c:f>
              <c:strCache>
                <c:ptCount val="1"/>
                <c:pt idx="0">
                  <c:v>2017</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'NP Sum Analysis'!$EK$8:$EK$18</c:f>
              <c:numCache>
                <c:formatCode>General</c:formatCode>
                <c:ptCount val="11"/>
                <c:pt idx="0">
                  <c:v>7.26</c:v>
                </c:pt>
                <c:pt idx="1">
                  <c:v>7.36</c:v>
                </c:pt>
                <c:pt idx="2">
                  <c:v>7.12</c:v>
                </c:pt>
                <c:pt idx="3">
                  <c:v>6.75</c:v>
                </c:pt>
                <c:pt idx="4">
                  <c:v>2.44</c:v>
                </c:pt>
                <c:pt idx="5">
                  <c:v>1.44</c:v>
                </c:pt>
                <c:pt idx="6">
                  <c:v>0.65</c:v>
                </c:pt>
                <c:pt idx="7">
                  <c:v>0.42</c:v>
                </c:pt>
                <c:pt idx="8">
                  <c:v>0.28000000000000003</c:v>
                </c:pt>
                <c:pt idx="9">
                  <c:v>0.22</c:v>
                </c:pt>
                <c:pt idx="10">
                  <c:v>0.16</c:v>
                </c:pt>
              </c:numCache>
            </c:numRef>
          </c:xVal>
          <c:yVal>
            <c:numRef>
              <c:f>'NP Sum Analysis'!$EJ$8:$EJ$18</c:f>
              <c:numCache>
                <c:formatCode>General</c:formatCode>
                <c:ptCount val="11"/>
                <c:pt idx="0">
                  <c:v>0.05</c:v>
                </c:pt>
                <c:pt idx="1">
                  <c:v>3</c:v>
                </c:pt>
                <c:pt idx="2">
                  <c:v>6</c:v>
                </c:pt>
                <c:pt idx="3">
                  <c:v>9</c:v>
                </c:pt>
                <c:pt idx="4">
                  <c:v>12</c:v>
                </c:pt>
                <c:pt idx="5">
                  <c:v>15</c:v>
                </c:pt>
                <c:pt idx="6">
                  <c:v>18</c:v>
                </c:pt>
                <c:pt idx="7">
                  <c:v>21</c:v>
                </c:pt>
                <c:pt idx="8">
                  <c:v>24</c:v>
                </c:pt>
                <c:pt idx="9">
                  <c:v>27</c:v>
                </c:pt>
                <c:pt idx="10">
                  <c:v>30</c:v>
                </c:pt>
              </c:numCache>
            </c:numRef>
          </c:yVal>
          <c:smooth val="1"/>
          <c:extLst>
            <c:ext xmlns:c16="http://schemas.microsoft.com/office/drawing/2014/chart" uri="{C3380CC4-5D6E-409C-BE32-E72D297353CC}">
              <c16:uniqueId val="{00000002-CF1A-4237-A2B4-C2FB62326B4E}"/>
            </c:ext>
          </c:extLst>
        </c:ser>
        <c:ser>
          <c:idx val="3"/>
          <c:order val="1"/>
          <c:tx>
            <c:strRef>
              <c:f>'NP Sum Analysis'!$EL$6</c:f>
              <c:strCache>
                <c:ptCount val="1"/>
                <c:pt idx="0">
                  <c:v>2018</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'NP Sum Analysis'!$EM$8:$EM$18</c:f>
              <c:numCache>
                <c:formatCode>General</c:formatCode>
                <c:ptCount val="11"/>
                <c:pt idx="0">
                  <c:v>6.38</c:v>
                </c:pt>
                <c:pt idx="1">
                  <c:v>6.35</c:v>
                </c:pt>
                <c:pt idx="2">
                  <c:v>6.22</c:v>
                </c:pt>
                <c:pt idx="3">
                  <c:v>6.1</c:v>
                </c:pt>
                <c:pt idx="4">
                  <c:v>3.1</c:v>
                </c:pt>
                <c:pt idx="5">
                  <c:v>1.57</c:v>
                </c:pt>
                <c:pt idx="6">
                  <c:v>1.1000000000000001</c:v>
                </c:pt>
                <c:pt idx="7">
                  <c:v>0.78</c:v>
                </c:pt>
                <c:pt idx="8">
                  <c:v>0.56000000000000005</c:v>
                </c:pt>
                <c:pt idx="9">
                  <c:v>0.44</c:v>
                </c:pt>
                <c:pt idx="10">
                  <c:v>0.32</c:v>
                </c:pt>
              </c:numCache>
            </c:numRef>
          </c:xVal>
          <c:yVal>
            <c:numRef>
              <c:f>'NP Sum Analysis'!$EL$8:$EL$18</c:f>
              <c:numCache>
                <c:formatCode>General</c:formatCode>
                <c:ptCount val="11"/>
                <c:pt idx="0">
                  <c:v>0.5</c:v>
                </c:pt>
                <c:pt idx="1">
                  <c:v>3</c:v>
                </c:pt>
                <c:pt idx="2">
                  <c:v>6</c:v>
                </c:pt>
                <c:pt idx="3">
                  <c:v>9</c:v>
                </c:pt>
                <c:pt idx="4">
                  <c:v>12</c:v>
                </c:pt>
                <c:pt idx="5">
                  <c:v>15</c:v>
                </c:pt>
                <c:pt idx="6">
                  <c:v>18</c:v>
                </c:pt>
                <c:pt idx="7">
                  <c:v>21</c:v>
                </c:pt>
                <c:pt idx="8">
                  <c:v>24</c:v>
                </c:pt>
                <c:pt idx="9">
                  <c:v>27</c:v>
                </c:pt>
                <c:pt idx="10">
                  <c:v>29</c:v>
                </c:pt>
              </c:numCache>
            </c:numRef>
          </c:yVal>
          <c:smooth val="1"/>
          <c:extLst>
            <c:ext xmlns:c16="http://schemas.microsoft.com/office/drawing/2014/chart" uri="{C3380CC4-5D6E-409C-BE32-E72D297353CC}">
              <c16:uniqueId val="{00000003-CF1A-4237-A2B4-C2FB62326B4E}"/>
            </c:ext>
          </c:extLst>
        </c:ser>
        <c:ser>
          <c:idx val="4"/>
          <c:order val="2"/>
          <c:tx>
            <c:strRef>
              <c:f>'NP Sum Analysis'!$EN$6</c:f>
              <c:strCache>
                <c:ptCount val="1"/>
                <c:pt idx="0">
                  <c:v>2019</c:v>
                </c:pt>
              </c:strCache>
            </c:strRef>
          </c:tx>
          <c:spPr>
            <a:ln w="19050" cap="rnd">
              <a:solidFill>
                <a:srgbClr val="002060"/>
              </a:solidFill>
              <a:round/>
            </a:ln>
            <a:effectLst/>
          </c:spPr>
          <c:marker>
            <c:symbol val="circle"/>
            <c:size val="5"/>
            <c:spPr>
              <a:solidFill>
                <a:srgbClr val="002060"/>
              </a:solidFill>
              <a:ln w="9525">
                <a:solidFill>
                  <a:srgbClr val="002060"/>
                </a:solidFill>
              </a:ln>
              <a:effectLst/>
            </c:spPr>
          </c:marker>
          <c:xVal>
            <c:numRef>
              <c:f>'NP Sum Analysis'!$EO$8:$EO$22</c:f>
              <c:numCache>
                <c:formatCode>General</c:formatCode>
                <c:ptCount val="15"/>
                <c:pt idx="0">
                  <c:v>5.65</c:v>
                </c:pt>
                <c:pt idx="1">
                  <c:v>5.2850000000000001</c:v>
                </c:pt>
                <c:pt idx="2">
                  <c:v>4.5250000000000004</c:v>
                </c:pt>
                <c:pt idx="3">
                  <c:v>0.5</c:v>
                </c:pt>
                <c:pt idx="4">
                  <c:v>3.19</c:v>
                </c:pt>
                <c:pt idx="5">
                  <c:v>0.245</c:v>
                </c:pt>
                <c:pt idx="6">
                  <c:v>0.17499999999999999</c:v>
                </c:pt>
                <c:pt idx="7">
                  <c:v>0.14000000000000001</c:v>
                </c:pt>
                <c:pt idx="8">
                  <c:v>0.12000000000000001</c:v>
                </c:pt>
                <c:pt idx="9">
                  <c:v>0.11</c:v>
                </c:pt>
                <c:pt idx="10">
                  <c:v>0.1</c:v>
                </c:pt>
                <c:pt idx="11">
                  <c:v>0.08</c:v>
                </c:pt>
                <c:pt idx="12">
                  <c:v>7.4999999999999997E-2</c:v>
                </c:pt>
                <c:pt idx="13">
                  <c:v>7.0000000000000007E-2</c:v>
                </c:pt>
                <c:pt idx="14">
                  <c:v>0.06</c:v>
                </c:pt>
              </c:numCache>
            </c:numRef>
          </c:xVal>
          <c:yVal>
            <c:numRef>
              <c:f>'NP Sum Analysis'!$EN$8:$EN$22</c:f>
              <c:numCache>
                <c:formatCode>General</c:formatCode>
                <c:ptCount val="15"/>
                <c:pt idx="0">
                  <c:v>3</c:v>
                </c:pt>
                <c:pt idx="1">
                  <c:v>6</c:v>
                </c:pt>
                <c:pt idx="2">
                  <c:v>9</c:v>
                </c:pt>
                <c:pt idx="3">
                  <c:v>11</c:v>
                </c:pt>
                <c:pt idx="4">
                  <c:v>12</c:v>
                </c:pt>
                <c:pt idx="5">
                  <c:v>13</c:v>
                </c:pt>
                <c:pt idx="6">
                  <c:v>14</c:v>
                </c:pt>
                <c:pt idx="7">
                  <c:v>15</c:v>
                </c:pt>
                <c:pt idx="8">
                  <c:v>18</c:v>
                </c:pt>
                <c:pt idx="9">
                  <c:v>21</c:v>
                </c:pt>
                <c:pt idx="10">
                  <c:v>24</c:v>
                </c:pt>
                <c:pt idx="11">
                  <c:v>27</c:v>
                </c:pt>
                <c:pt idx="12">
                  <c:v>30</c:v>
                </c:pt>
                <c:pt idx="13">
                  <c:v>33</c:v>
                </c:pt>
                <c:pt idx="14">
                  <c:v>35</c:v>
                </c:pt>
              </c:numCache>
            </c:numRef>
          </c:yVal>
          <c:smooth val="1"/>
          <c:extLst>
            <c:ext xmlns:c16="http://schemas.microsoft.com/office/drawing/2014/chart" uri="{C3380CC4-5D6E-409C-BE32-E72D297353CC}">
              <c16:uniqueId val="{00000004-CF1A-4237-A2B4-C2FB62326B4E}"/>
            </c:ext>
          </c:extLst>
        </c:ser>
        <c:ser>
          <c:idx val="5"/>
          <c:order val="3"/>
          <c:tx>
            <c:strRef>
              <c:f>'NP Sum Analysis'!$EP$6</c:f>
              <c:strCache>
                <c:ptCount val="1"/>
                <c:pt idx="0">
                  <c:v>2020</c:v>
                </c:pt>
              </c:strCache>
            </c:strRef>
          </c:tx>
          <c:spPr>
            <a:ln w="19050" cap="rnd">
              <a:solidFill>
                <a:srgbClr val="00B0F0"/>
              </a:solidFill>
              <a:round/>
            </a:ln>
            <a:effectLst/>
          </c:spPr>
          <c:marker>
            <c:symbol val="circle"/>
            <c:size val="5"/>
            <c:spPr>
              <a:solidFill>
                <a:srgbClr val="00B0F0"/>
              </a:solidFill>
              <a:ln w="9525">
                <a:solidFill>
                  <a:srgbClr val="00B0F0"/>
                </a:solidFill>
              </a:ln>
              <a:effectLst/>
            </c:spPr>
          </c:marker>
          <c:xVal>
            <c:numRef>
              <c:f>'NP Sum Analysis'!$EQ$8:$EQ$18</c:f>
              <c:numCache>
                <c:formatCode>General</c:formatCode>
                <c:ptCount val="11"/>
                <c:pt idx="0">
                  <c:v>5.6</c:v>
                </c:pt>
                <c:pt idx="1">
                  <c:v>5.55</c:v>
                </c:pt>
                <c:pt idx="2">
                  <c:v>5.55</c:v>
                </c:pt>
                <c:pt idx="3">
                  <c:v>5.22</c:v>
                </c:pt>
                <c:pt idx="4">
                  <c:v>0.7</c:v>
                </c:pt>
                <c:pt idx="5">
                  <c:v>0.45</c:v>
                </c:pt>
                <c:pt idx="6">
                  <c:v>0.35</c:v>
                </c:pt>
                <c:pt idx="7">
                  <c:v>0.3</c:v>
                </c:pt>
                <c:pt idx="8">
                  <c:v>0.28000000000000003</c:v>
                </c:pt>
                <c:pt idx="9">
                  <c:v>0.25</c:v>
                </c:pt>
                <c:pt idx="10">
                  <c:v>0.24</c:v>
                </c:pt>
              </c:numCache>
            </c:numRef>
          </c:xVal>
          <c:yVal>
            <c:numRef>
              <c:f>'NP Sum Analysis'!$EP$8:$EP$18</c:f>
              <c:numCache>
                <c:formatCode>General</c:formatCode>
                <c:ptCount val="11"/>
                <c:pt idx="0">
                  <c:v>2</c:v>
                </c:pt>
                <c:pt idx="1">
                  <c:v>4</c:v>
                </c:pt>
                <c:pt idx="2">
                  <c:v>6</c:v>
                </c:pt>
                <c:pt idx="3">
                  <c:v>10</c:v>
                </c:pt>
                <c:pt idx="4">
                  <c:v>13</c:v>
                </c:pt>
                <c:pt idx="5">
                  <c:v>16</c:v>
                </c:pt>
                <c:pt idx="6">
                  <c:v>18</c:v>
                </c:pt>
                <c:pt idx="7">
                  <c:v>21</c:v>
                </c:pt>
                <c:pt idx="8">
                  <c:v>24</c:v>
                </c:pt>
                <c:pt idx="9">
                  <c:v>27</c:v>
                </c:pt>
                <c:pt idx="10">
                  <c:v>29</c:v>
                </c:pt>
              </c:numCache>
            </c:numRef>
          </c:yVal>
          <c:smooth val="1"/>
          <c:extLst>
            <c:ext xmlns:c16="http://schemas.microsoft.com/office/drawing/2014/chart" uri="{C3380CC4-5D6E-409C-BE32-E72D297353CC}">
              <c16:uniqueId val="{00000005-CF1A-4237-A2B4-C2FB62326B4E}"/>
            </c:ext>
          </c:extLst>
        </c:ser>
        <c:ser>
          <c:idx val="6"/>
          <c:order val="4"/>
          <c:tx>
            <c:strRef>
              <c:f>'NP Sum Analysis'!$ER$6</c:f>
              <c:strCache>
                <c:ptCount val="1"/>
                <c:pt idx="0">
                  <c:v>2021</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'NP Sum Analysis'!$ES$8:$ES$19</c:f>
              <c:numCache>
                <c:formatCode>General</c:formatCode>
                <c:ptCount val="12"/>
                <c:pt idx="0">
                  <c:v>8.73</c:v>
                </c:pt>
                <c:pt idx="1">
                  <c:v>8.74</c:v>
                </c:pt>
                <c:pt idx="2">
                  <c:v>8.6199999999999992</c:v>
                </c:pt>
                <c:pt idx="3">
                  <c:v>0.71</c:v>
                </c:pt>
                <c:pt idx="4">
                  <c:v>0.71</c:v>
                </c:pt>
                <c:pt idx="5">
                  <c:v>0.31</c:v>
                </c:pt>
                <c:pt idx="6">
                  <c:v>0.2</c:v>
                </c:pt>
                <c:pt idx="7">
                  <c:v>0.14000000000000001</c:v>
                </c:pt>
                <c:pt idx="8">
                  <c:v>0.11</c:v>
                </c:pt>
                <c:pt idx="9">
                  <c:v>7.0000000000000007E-2</c:v>
                </c:pt>
                <c:pt idx="10">
                  <c:v>0.06</c:v>
                </c:pt>
                <c:pt idx="11">
                  <c:v>0.05</c:v>
                </c:pt>
              </c:numCache>
            </c:numRef>
          </c:xVal>
          <c:yVal>
            <c:numRef>
              <c:f>'NP Sum Analysis'!$ER$8:$ER$19</c:f>
              <c:numCache>
                <c:formatCode>General</c:formatCode>
                <c:ptCount val="12"/>
                <c:pt idx="0">
                  <c:v>0</c:v>
                </c:pt>
                <c:pt idx="1">
                  <c:v>3</c:v>
                </c:pt>
                <c:pt idx="2">
                  <c:v>7</c:v>
                </c:pt>
                <c:pt idx="3">
                  <c:v>10</c:v>
                </c:pt>
                <c:pt idx="4">
                  <c:v>13</c:v>
                </c:pt>
                <c:pt idx="5">
                  <c:v>16</c:v>
                </c:pt>
                <c:pt idx="6">
                  <c:v>20</c:v>
                </c:pt>
                <c:pt idx="7">
                  <c:v>23</c:v>
                </c:pt>
                <c:pt idx="8">
                  <c:v>26</c:v>
                </c:pt>
                <c:pt idx="9">
                  <c:v>30</c:v>
                </c:pt>
                <c:pt idx="10">
                  <c:v>33</c:v>
                </c:pt>
                <c:pt idx="11">
                  <c:v>34</c:v>
                </c:pt>
              </c:numCache>
            </c:numRef>
          </c:yVal>
          <c:smooth val="1"/>
          <c:extLst>
            <c:ext xmlns:c16="http://schemas.microsoft.com/office/drawing/2014/chart" uri="{C3380CC4-5D6E-409C-BE32-E72D297353CC}">
              <c16:uniqueId val="{00000006-CF1A-4237-A2B4-C2FB62326B4E}"/>
            </c:ext>
          </c:extLst>
        </c:ser>
        <c:dLbls>
          <c:showLegendKey val="0"/>
          <c:showVal val="0"/>
          <c:showCatName val="0"/>
          <c:showSerName val="0"/>
          <c:showPercent val="0"/>
          <c:showBubbleSize val="0"/>
        </c:dLbls>
        <c:axId val="404013679"/>
        <c:axId val="404014095"/>
      </c:scatterChart>
      <c:valAx>
        <c:axId val="404013679"/>
        <c:scaling>
          <c:orientation val="minMax"/>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Dissolved Oxygen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04014095"/>
        <c:crosses val="autoZero"/>
        <c:crossBetween val="midCat"/>
      </c:valAx>
      <c:valAx>
        <c:axId val="40401409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Depth (ft)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04013679"/>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Average Infiltration Rate vs. Lake and Vegetation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9.826376917940452E-2"/>
          <c:y val="0.10997699875368283"/>
          <c:w val="0.87758205072965678"/>
          <c:h val="0.75043681052048894"/>
        </c:manualLayout>
      </c:layout>
      <c:barChart>
        <c:barDir val="col"/>
        <c:grouping val="clustered"/>
        <c:varyColors val="0"/>
        <c:ser>
          <c:idx val="0"/>
          <c:order val="0"/>
          <c:tx>
            <c:v>North Pipe Lake Grass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Analysis!$X$2</c:f>
              <c:strCache>
                <c:ptCount val="1"/>
                <c:pt idx="0">
                  <c:v>Undisturbed</c:v>
                </c:pt>
              </c:strCache>
            </c:strRef>
          </c:cat>
          <c:val>
            <c:numRef>
              <c:f>Analysis!$W$15</c:f>
              <c:numCache>
                <c:formatCode>0.0</c:formatCode>
                <c:ptCount val="1"/>
                <c:pt idx="0">
                  <c:v>12.960216535433069</c:v>
                </c:pt>
              </c:numCache>
            </c:numRef>
          </c:val>
          <c:extLst>
            <c:ext xmlns:c16="http://schemas.microsoft.com/office/drawing/2014/chart" uri="{C3380CC4-5D6E-409C-BE32-E72D297353CC}">
              <c16:uniqueId val="{00000000-83AE-45B4-AE32-5BADEC6F835D}"/>
            </c:ext>
          </c:extLst>
        </c:ser>
        <c:ser>
          <c:idx val="1"/>
          <c:order val="1"/>
          <c:tx>
            <c:v>Pipe Lake Grass</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Analysis!$X$2</c:f>
              <c:strCache>
                <c:ptCount val="1"/>
                <c:pt idx="0">
                  <c:v>Undisturbed</c:v>
                </c:pt>
              </c:strCache>
            </c:strRef>
          </c:cat>
          <c:val>
            <c:numRef>
              <c:f>Analysis!$W$32</c:f>
              <c:numCache>
                <c:formatCode>0.0</c:formatCode>
                <c:ptCount val="1"/>
                <c:pt idx="0">
                  <c:v>11.221437007874016</c:v>
                </c:pt>
              </c:numCache>
            </c:numRef>
          </c:val>
          <c:extLst>
            <c:ext xmlns:c16="http://schemas.microsoft.com/office/drawing/2014/chart" uri="{C3380CC4-5D6E-409C-BE32-E72D297353CC}">
              <c16:uniqueId val="{00000001-83AE-45B4-AE32-5BADEC6F835D}"/>
            </c:ext>
          </c:extLst>
        </c:ser>
        <c:ser>
          <c:idx val="2"/>
          <c:order val="2"/>
          <c:tx>
            <c:v>North Pipe Lake Undisturbed</c:v>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Analysis!$X$2</c:f>
              <c:strCache>
                <c:ptCount val="1"/>
                <c:pt idx="0">
                  <c:v>Undisturbed</c:v>
                </c:pt>
              </c:strCache>
            </c:strRef>
          </c:cat>
          <c:val>
            <c:numRef>
              <c:f>Analysis!$Y$15</c:f>
              <c:numCache>
                <c:formatCode>0.0</c:formatCode>
                <c:ptCount val="1"/>
                <c:pt idx="0">
                  <c:v>18.184476940382453</c:v>
                </c:pt>
              </c:numCache>
            </c:numRef>
          </c:val>
          <c:extLst>
            <c:ext xmlns:c16="http://schemas.microsoft.com/office/drawing/2014/chart" uri="{C3380CC4-5D6E-409C-BE32-E72D297353CC}">
              <c16:uniqueId val="{00000002-83AE-45B4-AE32-5BADEC6F835D}"/>
            </c:ext>
          </c:extLst>
        </c:ser>
        <c:ser>
          <c:idx val="3"/>
          <c:order val="3"/>
          <c:tx>
            <c:v>Pipe Lake Undisturbed</c:v>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Analysis!$X$2</c:f>
              <c:strCache>
                <c:ptCount val="1"/>
                <c:pt idx="0">
                  <c:v>Undisturbed</c:v>
                </c:pt>
              </c:strCache>
            </c:strRef>
          </c:cat>
          <c:val>
            <c:numRef>
              <c:f>Analysis!$Y$32</c:f>
              <c:numCache>
                <c:formatCode>0.0</c:formatCode>
                <c:ptCount val="1"/>
                <c:pt idx="0">
                  <c:v>17.547769028871393</c:v>
                </c:pt>
              </c:numCache>
            </c:numRef>
          </c:val>
          <c:extLst>
            <c:ext xmlns:c16="http://schemas.microsoft.com/office/drawing/2014/chart" uri="{C3380CC4-5D6E-409C-BE32-E72D297353CC}">
              <c16:uniqueId val="{00000003-83AE-45B4-AE32-5BADEC6F835D}"/>
            </c:ext>
          </c:extLst>
        </c:ser>
        <c:dLbls>
          <c:dLblPos val="outEnd"/>
          <c:showLegendKey val="0"/>
          <c:showVal val="1"/>
          <c:showCatName val="0"/>
          <c:showSerName val="0"/>
          <c:showPercent val="0"/>
          <c:showBubbleSize val="0"/>
        </c:dLbls>
        <c:gapWidth val="219"/>
        <c:overlap val="-54"/>
        <c:axId val="987105024"/>
        <c:axId val="987105856"/>
      </c:barChart>
      <c:catAx>
        <c:axId val="987105024"/>
        <c:scaling>
          <c:orientation val="minMax"/>
        </c:scaling>
        <c:delete val="1"/>
        <c:axPos val="b"/>
        <c:numFmt formatCode="General" sourceLinked="1"/>
        <c:majorTickMark val="none"/>
        <c:minorTickMark val="none"/>
        <c:tickLblPos val="nextTo"/>
        <c:crossAx val="987105856"/>
        <c:crosses val="autoZero"/>
        <c:auto val="1"/>
        <c:lblAlgn val="ctr"/>
        <c:lblOffset val="100"/>
        <c:noMultiLvlLbl val="0"/>
      </c:catAx>
      <c:valAx>
        <c:axId val="987105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Infiltration Rate (in/hr)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8710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60" b="0" i="0" u="none" strike="noStrike" kern="1200" spc="0" baseline="0">
                <a:solidFill>
                  <a:schemeClr val="tx1"/>
                </a:solidFill>
                <a:latin typeface="+mn-lt"/>
                <a:ea typeface="+mn-ea"/>
                <a:cs typeface="+mn-cs"/>
              </a:defRPr>
            </a:pPr>
            <a:r>
              <a:rPr lang="en-US"/>
              <a:t>DCP CBR % Values vs Infiltration Rates Around NP Lake</a:t>
            </a:r>
          </a:p>
        </c:rich>
      </c:tx>
      <c:overlay val="0"/>
      <c:spPr>
        <a:noFill/>
        <a:ln>
          <a:noFill/>
        </a:ln>
        <a:effectLst/>
      </c:spPr>
      <c:txPr>
        <a:bodyPr rot="0" spcFirstLastPara="1" vertOverflow="ellipsis" vert="horz" wrap="square" anchor="ctr" anchorCtr="1"/>
        <a:lstStyle/>
        <a:p>
          <a:pPr>
            <a:defRPr sz="1260" b="0" i="0" u="none" strike="noStrike" kern="1200" spc="0" baseline="0">
              <a:solidFill>
                <a:schemeClr val="tx1"/>
              </a:solidFill>
              <a:latin typeface="+mn-lt"/>
              <a:ea typeface="+mn-ea"/>
              <a:cs typeface="+mn-cs"/>
            </a:defRPr>
          </a:pPr>
          <a:endParaRPr lang="en-US"/>
        </a:p>
      </c:txPr>
    </c:title>
    <c:autoTitleDeleted val="0"/>
    <c:plotArea>
      <c:layout/>
      <c:barChart>
        <c:barDir val="bar"/>
        <c:grouping val="clustered"/>
        <c:varyColors val="0"/>
        <c:ser>
          <c:idx val="3"/>
          <c:order val="2"/>
          <c:tx>
            <c:v>Undisturbed Infiltration</c:v>
          </c:tx>
          <c:spPr>
            <a:solidFill>
              <a:schemeClr val="accent2">
                <a:lumMod val="40000"/>
                <a:lumOff val="60000"/>
              </a:schemeClr>
            </a:solidFill>
            <a:ln>
              <a:noFill/>
            </a:ln>
            <a:effectLst/>
          </c:spPr>
          <c:invertIfNegative val="0"/>
          <c:cat>
            <c:numLit>
              <c:formatCode>General</c:formatCode>
              <c:ptCount val="1"/>
              <c:pt idx="0">
                <c:v>35</c:v>
              </c:pt>
            </c:numLit>
          </c:cat>
          <c:val>
            <c:numLit>
              <c:formatCode>General</c:formatCode>
              <c:ptCount val="1"/>
              <c:pt idx="0">
                <c:v>38</c:v>
              </c:pt>
            </c:numLit>
          </c:val>
          <c:extLst>
            <c:ext xmlns:c16="http://schemas.microsoft.com/office/drawing/2014/chart" uri="{C3380CC4-5D6E-409C-BE32-E72D297353CC}">
              <c16:uniqueId val="{00000000-02C9-4AD2-9CFD-53B982CB37B7}"/>
            </c:ext>
          </c:extLst>
        </c:ser>
        <c:ser>
          <c:idx val="2"/>
          <c:order val="3"/>
          <c:tx>
            <c:v>Grass Infiltration</c:v>
          </c:tx>
          <c:spPr>
            <a:solidFill>
              <a:schemeClr val="accent1">
                <a:lumMod val="40000"/>
                <a:lumOff val="60000"/>
              </a:schemeClr>
            </a:solidFill>
            <a:ln>
              <a:noFill/>
            </a:ln>
            <a:effectLst/>
          </c:spPr>
          <c:invertIfNegative val="0"/>
          <c:cat>
            <c:numLit>
              <c:formatCode>General</c:formatCode>
              <c:ptCount val="1"/>
              <c:pt idx="0">
                <c:v>35</c:v>
              </c:pt>
            </c:numLit>
          </c:cat>
          <c:val>
            <c:numLit>
              <c:formatCode>General</c:formatCode>
              <c:ptCount val="1"/>
              <c:pt idx="0">
                <c:v>35</c:v>
              </c:pt>
            </c:numLit>
          </c:val>
          <c:extLst>
            <c:ext xmlns:c16="http://schemas.microsoft.com/office/drawing/2014/chart" uri="{C3380CC4-5D6E-409C-BE32-E72D297353CC}">
              <c16:uniqueId val="{00000001-02C9-4AD2-9CFD-53B982CB37B7}"/>
            </c:ext>
          </c:extLst>
        </c:ser>
        <c:dLbls>
          <c:showLegendKey val="0"/>
          <c:showVal val="0"/>
          <c:showCatName val="0"/>
          <c:showSerName val="0"/>
          <c:showPercent val="0"/>
          <c:showBubbleSize val="0"/>
        </c:dLbls>
        <c:gapWidth val="150"/>
        <c:axId val="909164368"/>
        <c:axId val="909144816"/>
      </c:barChart>
      <c:scatterChart>
        <c:scatterStyle val="smoothMarker"/>
        <c:varyColors val="0"/>
        <c:ser>
          <c:idx val="0"/>
          <c:order val="0"/>
          <c:tx>
            <c:v>Grass CBR%</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'DCP Table'!$P$9:$P$16</c:f>
              <c:numCache>
                <c:formatCode>General</c:formatCode>
                <c:ptCount val="8"/>
                <c:pt idx="0">
                  <c:v>7.416363636363636</c:v>
                </c:pt>
                <c:pt idx="1">
                  <c:v>17.795849056603767</c:v>
                </c:pt>
                <c:pt idx="2">
                  <c:v>30.242959183673488</c:v>
                </c:pt>
                <c:pt idx="3">
                  <c:v>35.217333333333343</c:v>
                </c:pt>
                <c:pt idx="4">
                  <c:v>37.921076923076932</c:v>
                </c:pt>
                <c:pt idx="5">
                  <c:v>31.482727272727267</c:v>
                </c:pt>
                <c:pt idx="6">
                  <c:v>38.15323529411765</c:v>
                </c:pt>
                <c:pt idx="7">
                  <c:v>15.866666666666667</c:v>
                </c:pt>
              </c:numCache>
            </c:numRef>
          </c:xVal>
          <c:yVal>
            <c:numRef>
              <c:f>'DCP Table'!$N$9:$N$16</c:f>
              <c:numCache>
                <c:formatCode>General</c:formatCode>
                <c:ptCount val="8"/>
                <c:pt idx="0">
                  <c:v>20</c:v>
                </c:pt>
                <c:pt idx="1">
                  <c:v>40</c:v>
                </c:pt>
                <c:pt idx="2">
                  <c:v>60</c:v>
                </c:pt>
                <c:pt idx="3">
                  <c:v>80</c:v>
                </c:pt>
                <c:pt idx="4">
                  <c:v>100</c:v>
                </c:pt>
                <c:pt idx="5">
                  <c:v>120</c:v>
                </c:pt>
                <c:pt idx="6">
                  <c:v>140</c:v>
                </c:pt>
                <c:pt idx="7">
                  <c:v>160</c:v>
                </c:pt>
              </c:numCache>
            </c:numRef>
          </c:yVal>
          <c:smooth val="1"/>
          <c:extLst>
            <c:ext xmlns:c16="http://schemas.microsoft.com/office/drawing/2014/chart" uri="{C3380CC4-5D6E-409C-BE32-E72D297353CC}">
              <c16:uniqueId val="{00000002-02C9-4AD2-9CFD-53B982CB37B7}"/>
            </c:ext>
          </c:extLst>
        </c:ser>
        <c:ser>
          <c:idx val="1"/>
          <c:order val="1"/>
          <c:tx>
            <c:v>Undisturbed CBR%</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'DCP Table'!$P$17:$P$24</c:f>
              <c:numCache>
                <c:formatCode>General</c:formatCode>
                <c:ptCount val="8"/>
                <c:pt idx="0">
                  <c:v>2.5680000000000001</c:v>
                </c:pt>
                <c:pt idx="1">
                  <c:v>6.28</c:v>
                </c:pt>
                <c:pt idx="2">
                  <c:v>15.875</c:v>
                </c:pt>
                <c:pt idx="3">
                  <c:v>20.912916666666664</c:v>
                </c:pt>
                <c:pt idx="4">
                  <c:v>25.745365853658534</c:v>
                </c:pt>
                <c:pt idx="5">
                  <c:v>31.410588235294117</c:v>
                </c:pt>
                <c:pt idx="6">
                  <c:v>41.190249999999999</c:v>
                </c:pt>
                <c:pt idx="7">
                  <c:v>37.538666666666664</c:v>
                </c:pt>
              </c:numCache>
            </c:numRef>
          </c:xVal>
          <c:yVal>
            <c:numRef>
              <c:f>'DCP Table'!$N$17:$N$24</c:f>
              <c:numCache>
                <c:formatCode>General</c:formatCode>
                <c:ptCount val="8"/>
                <c:pt idx="0">
                  <c:v>20</c:v>
                </c:pt>
                <c:pt idx="1">
                  <c:v>40</c:v>
                </c:pt>
                <c:pt idx="2">
                  <c:v>60</c:v>
                </c:pt>
                <c:pt idx="3">
                  <c:v>80</c:v>
                </c:pt>
                <c:pt idx="4">
                  <c:v>100</c:v>
                </c:pt>
                <c:pt idx="5">
                  <c:v>120</c:v>
                </c:pt>
                <c:pt idx="6">
                  <c:v>140</c:v>
                </c:pt>
                <c:pt idx="7">
                  <c:v>160</c:v>
                </c:pt>
              </c:numCache>
            </c:numRef>
          </c:yVal>
          <c:smooth val="1"/>
          <c:extLst>
            <c:ext xmlns:c16="http://schemas.microsoft.com/office/drawing/2014/chart" uri="{C3380CC4-5D6E-409C-BE32-E72D297353CC}">
              <c16:uniqueId val="{00000003-02C9-4AD2-9CFD-53B982CB37B7}"/>
            </c:ext>
          </c:extLst>
        </c:ser>
        <c:dLbls>
          <c:showLegendKey val="0"/>
          <c:showVal val="0"/>
          <c:showCatName val="0"/>
          <c:showSerName val="0"/>
          <c:showPercent val="0"/>
          <c:showBubbleSize val="0"/>
        </c:dLbls>
        <c:axId val="87447247"/>
        <c:axId val="87432271"/>
      </c:scatterChart>
      <c:valAx>
        <c:axId val="87447247"/>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a:t>CBR (%)</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87432271"/>
        <c:crosses val="autoZero"/>
        <c:crossBetween val="midCat"/>
      </c:valAx>
      <c:valAx>
        <c:axId val="87432271"/>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a:t>Depth (cm)</a:t>
                </a:r>
              </a:p>
            </c:rich>
          </c:tx>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87447247"/>
        <c:crosses val="autoZero"/>
        <c:crossBetween val="midCat"/>
      </c:valAx>
      <c:valAx>
        <c:axId val="909144816"/>
        <c:scaling>
          <c:orientation val="minMax"/>
          <c:max val="40"/>
          <c:min val="30"/>
        </c:scaling>
        <c:delete val="0"/>
        <c:axPos val="b"/>
        <c:title>
          <c:tx>
            <c:rich>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a:t>Infiltration Rate (cm/hr)</a:t>
                </a:r>
              </a:p>
            </c:rich>
          </c:tx>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909164368"/>
        <c:crosses val="autoZero"/>
        <c:crossBetween val="between"/>
      </c:valAx>
      <c:catAx>
        <c:axId val="909164368"/>
        <c:scaling>
          <c:orientation val="minMax"/>
        </c:scaling>
        <c:delete val="1"/>
        <c:axPos val="l"/>
        <c:numFmt formatCode="General" sourceLinked="1"/>
        <c:majorTickMark val="out"/>
        <c:minorTickMark val="none"/>
        <c:tickLblPos val="nextTo"/>
        <c:crossAx val="9091448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Watershed Runoff</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Sheet1!$C$4</c:f>
              <c:strCache>
                <c:ptCount val="1"/>
                <c:pt idx="0">
                  <c:v>Meters</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numRef>
              <c:f>Sheet1!$A$5:$A$11</c:f>
              <c:numCache>
                <c:formatCode>General</c:formatCode>
                <c:ptCount val="7"/>
                <c:pt idx="0">
                  <c:v>2015</c:v>
                </c:pt>
                <c:pt idx="1">
                  <c:v>2016</c:v>
                </c:pt>
                <c:pt idx="2">
                  <c:v>2017</c:v>
                </c:pt>
                <c:pt idx="3">
                  <c:v>2018</c:v>
                </c:pt>
                <c:pt idx="4">
                  <c:v>2019</c:v>
                </c:pt>
                <c:pt idx="5">
                  <c:v>2020</c:v>
                </c:pt>
                <c:pt idx="6">
                  <c:v>2021</c:v>
                </c:pt>
              </c:numCache>
            </c:numRef>
          </c:cat>
          <c:val>
            <c:numRef>
              <c:f>Sheet1!$C$5:$C$11</c:f>
              <c:numCache>
                <c:formatCode>General</c:formatCode>
                <c:ptCount val="7"/>
                <c:pt idx="0">
                  <c:v>0.24</c:v>
                </c:pt>
                <c:pt idx="1">
                  <c:v>0.22</c:v>
                </c:pt>
                <c:pt idx="2">
                  <c:v>0.21</c:v>
                </c:pt>
                <c:pt idx="3">
                  <c:v>0.2</c:v>
                </c:pt>
                <c:pt idx="4">
                  <c:v>0.28000000000000003</c:v>
                </c:pt>
                <c:pt idx="5">
                  <c:v>0.21</c:v>
                </c:pt>
                <c:pt idx="6">
                  <c:v>0.14000000000000001</c:v>
                </c:pt>
              </c:numCache>
            </c:numRef>
          </c:val>
          <c:smooth val="0"/>
          <c:extLst>
            <c:ext xmlns:c16="http://schemas.microsoft.com/office/drawing/2014/chart" uri="{C3380CC4-5D6E-409C-BE32-E72D297353CC}">
              <c16:uniqueId val="{00000000-3DB9-4CB0-B224-76F642976DAA}"/>
            </c:ext>
          </c:extLst>
        </c:ser>
        <c:dLbls>
          <c:showLegendKey val="0"/>
          <c:showVal val="0"/>
          <c:showCatName val="0"/>
          <c:showSerName val="0"/>
          <c:showPercent val="0"/>
          <c:showBubbleSize val="0"/>
        </c:dLbls>
        <c:marker val="1"/>
        <c:smooth val="0"/>
        <c:axId val="835939408"/>
        <c:axId val="835939824"/>
      </c:lineChart>
      <c:lineChart>
        <c:grouping val="standard"/>
        <c:varyColors val="0"/>
        <c:ser>
          <c:idx val="1"/>
          <c:order val="1"/>
          <c:tx>
            <c:strRef>
              <c:f>Sheet1!$B$4</c:f>
              <c:strCache>
                <c:ptCount val="1"/>
                <c:pt idx="0">
                  <c:v>Inches</c:v>
                </c:pt>
              </c:strCache>
            </c:strRef>
          </c:tx>
          <c:spPr>
            <a:ln w="28575" cap="rnd">
              <a:solidFill>
                <a:schemeClr val="bg2">
                  <a:lumMod val="75000"/>
                </a:schemeClr>
              </a:solidFill>
              <a:round/>
            </a:ln>
            <a:effectLst/>
          </c:spPr>
          <c:marker>
            <c:symbol val="circle"/>
            <c:size val="5"/>
            <c:spPr>
              <a:solidFill>
                <a:schemeClr val="bg2">
                  <a:lumMod val="75000"/>
                </a:schemeClr>
              </a:solidFill>
              <a:ln w="9525">
                <a:solidFill>
                  <a:schemeClr val="bg2">
                    <a:lumMod val="75000"/>
                  </a:schemeClr>
                </a:solidFill>
              </a:ln>
              <a:effectLst/>
            </c:spPr>
          </c:marker>
          <c:cat>
            <c:numRef>
              <c:f>Sheet1!$A$5:$A$11</c:f>
              <c:numCache>
                <c:formatCode>General</c:formatCode>
                <c:ptCount val="7"/>
                <c:pt idx="0">
                  <c:v>2015</c:v>
                </c:pt>
                <c:pt idx="1">
                  <c:v>2016</c:v>
                </c:pt>
                <c:pt idx="2">
                  <c:v>2017</c:v>
                </c:pt>
                <c:pt idx="3">
                  <c:v>2018</c:v>
                </c:pt>
                <c:pt idx="4">
                  <c:v>2019</c:v>
                </c:pt>
                <c:pt idx="5">
                  <c:v>2020</c:v>
                </c:pt>
                <c:pt idx="6">
                  <c:v>2021</c:v>
                </c:pt>
              </c:numCache>
            </c:numRef>
          </c:cat>
          <c:val>
            <c:numRef>
              <c:f>Sheet1!$B$5:$B$11</c:f>
              <c:numCache>
                <c:formatCode>General</c:formatCode>
                <c:ptCount val="7"/>
                <c:pt idx="0">
                  <c:v>9.3000000000000007</c:v>
                </c:pt>
                <c:pt idx="1">
                  <c:v>8.5299999999999994</c:v>
                </c:pt>
                <c:pt idx="2">
                  <c:v>8.34</c:v>
                </c:pt>
                <c:pt idx="3">
                  <c:v>7.95</c:v>
                </c:pt>
                <c:pt idx="4">
                  <c:v>10.93</c:v>
                </c:pt>
                <c:pt idx="5">
                  <c:v>8.33</c:v>
                </c:pt>
                <c:pt idx="6">
                  <c:v>5.32</c:v>
                </c:pt>
              </c:numCache>
            </c:numRef>
          </c:val>
          <c:smooth val="0"/>
          <c:extLst>
            <c:ext xmlns:c16="http://schemas.microsoft.com/office/drawing/2014/chart" uri="{C3380CC4-5D6E-409C-BE32-E72D297353CC}">
              <c16:uniqueId val="{00000001-3DB9-4CB0-B224-76F642976DAA}"/>
            </c:ext>
          </c:extLst>
        </c:ser>
        <c:dLbls>
          <c:showLegendKey val="0"/>
          <c:showVal val="0"/>
          <c:showCatName val="0"/>
          <c:showSerName val="0"/>
          <c:showPercent val="0"/>
          <c:showBubbleSize val="0"/>
        </c:dLbls>
        <c:marker val="1"/>
        <c:smooth val="0"/>
        <c:axId val="1381803616"/>
        <c:axId val="1381804448"/>
      </c:lineChart>
      <c:catAx>
        <c:axId val="8359394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5939824"/>
        <c:crosses val="autoZero"/>
        <c:auto val="1"/>
        <c:lblAlgn val="ctr"/>
        <c:lblOffset val="100"/>
        <c:noMultiLvlLbl val="0"/>
      </c:catAx>
      <c:valAx>
        <c:axId val="835939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a:t>Meters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35939408"/>
        <c:crosses val="autoZero"/>
        <c:crossBetween val="between"/>
      </c:valAx>
      <c:valAx>
        <c:axId val="138180444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Inches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81803616"/>
        <c:crosses val="max"/>
        <c:crossBetween val="between"/>
      </c:valAx>
      <c:catAx>
        <c:axId val="1381803616"/>
        <c:scaling>
          <c:orientation val="minMax"/>
        </c:scaling>
        <c:delete val="1"/>
        <c:axPos val="b"/>
        <c:numFmt formatCode="General" sourceLinked="1"/>
        <c:majorTickMark val="out"/>
        <c:minorTickMark val="none"/>
        <c:tickLblPos val="nextTo"/>
        <c:crossAx val="13818044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North Pipe Lake</a:t>
            </a:r>
          </a:p>
          <a:p>
            <a:pPr>
              <a:defRPr/>
            </a:pPr>
            <a:r>
              <a:rPr lang="en-US"/>
              <a:t>Hydraulic Retetion Time vs Growing Season 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Hydraulic Retention Time</c:v>
          </c:tx>
          <c:spPr>
            <a:solidFill>
              <a:schemeClr val="accent1"/>
            </a:solidFill>
            <a:ln w="25400">
              <a:noFill/>
            </a:ln>
            <a:effectLst/>
          </c:spPr>
          <c:invertIfNegative val="0"/>
          <c:cat>
            <c:numRef>
              <c:f>Sheet2!$A$4:$A$10</c:f>
              <c:numCache>
                <c:formatCode>General</c:formatCode>
                <c:ptCount val="7"/>
                <c:pt idx="0">
                  <c:v>2015</c:v>
                </c:pt>
                <c:pt idx="1">
                  <c:v>2016</c:v>
                </c:pt>
                <c:pt idx="2">
                  <c:v>2017</c:v>
                </c:pt>
                <c:pt idx="3">
                  <c:v>2018</c:v>
                </c:pt>
                <c:pt idx="4">
                  <c:v>2019</c:v>
                </c:pt>
                <c:pt idx="5">
                  <c:v>2020</c:v>
                </c:pt>
                <c:pt idx="6">
                  <c:v>2021</c:v>
                </c:pt>
              </c:numCache>
            </c:numRef>
          </c:cat>
          <c:val>
            <c:numRef>
              <c:f>Sheet2!$E$4:$E$10</c:f>
              <c:numCache>
                <c:formatCode>General</c:formatCode>
                <c:ptCount val="7"/>
                <c:pt idx="0">
                  <c:v>1.28</c:v>
                </c:pt>
                <c:pt idx="1">
                  <c:v>1.39</c:v>
                </c:pt>
                <c:pt idx="2">
                  <c:v>1.42</c:v>
                </c:pt>
                <c:pt idx="3">
                  <c:v>1.49</c:v>
                </c:pt>
                <c:pt idx="4">
                  <c:v>1.0900000000000001</c:v>
                </c:pt>
                <c:pt idx="5">
                  <c:v>1.43</c:v>
                </c:pt>
                <c:pt idx="6">
                  <c:v>2.21</c:v>
                </c:pt>
              </c:numCache>
            </c:numRef>
          </c:val>
          <c:extLst>
            <c:ext xmlns:c16="http://schemas.microsoft.com/office/drawing/2014/chart" uri="{C3380CC4-5D6E-409C-BE32-E72D297353CC}">
              <c16:uniqueId val="{00000000-10C5-4F8A-9336-422B45B43B10}"/>
            </c:ext>
          </c:extLst>
        </c:ser>
        <c:dLbls>
          <c:showLegendKey val="0"/>
          <c:showVal val="0"/>
          <c:showCatName val="0"/>
          <c:showSerName val="0"/>
          <c:showPercent val="0"/>
          <c:showBubbleSize val="0"/>
        </c:dLbls>
        <c:gapWidth val="150"/>
        <c:axId val="1340890928"/>
        <c:axId val="1228195120"/>
      </c:barChart>
      <c:lineChart>
        <c:grouping val="standard"/>
        <c:varyColors val="0"/>
        <c:ser>
          <c:idx val="1"/>
          <c:order val="1"/>
          <c:tx>
            <c:v>Growing Season Mean P</c:v>
          </c:tx>
          <c:spPr>
            <a:ln w="19050" cap="rnd">
              <a:solidFill>
                <a:schemeClr val="accent2"/>
              </a:solidFill>
              <a:round/>
            </a:ln>
            <a:effectLst/>
          </c:spPr>
          <c:marker>
            <c:symbol val="none"/>
          </c:marker>
          <c:cat>
            <c:numRef>
              <c:f>Sheet2!$A$4:$A$10</c:f>
              <c:numCache>
                <c:formatCode>General</c:formatCode>
                <c:ptCount val="7"/>
                <c:pt idx="0">
                  <c:v>2015</c:v>
                </c:pt>
                <c:pt idx="1">
                  <c:v>2016</c:v>
                </c:pt>
                <c:pt idx="2">
                  <c:v>2017</c:v>
                </c:pt>
                <c:pt idx="3">
                  <c:v>2018</c:v>
                </c:pt>
                <c:pt idx="4">
                  <c:v>2019</c:v>
                </c:pt>
                <c:pt idx="5">
                  <c:v>2020</c:v>
                </c:pt>
                <c:pt idx="6">
                  <c:v>2021</c:v>
                </c:pt>
              </c:numCache>
            </c:numRef>
          </c:cat>
          <c:val>
            <c:numRef>
              <c:f>Sheet2!$G$4:$G$10</c:f>
              <c:numCache>
                <c:formatCode>General</c:formatCode>
                <c:ptCount val="7"/>
                <c:pt idx="0">
                  <c:v>24.3</c:v>
                </c:pt>
                <c:pt idx="1">
                  <c:v>29.7</c:v>
                </c:pt>
                <c:pt idx="2">
                  <c:v>32.1</c:v>
                </c:pt>
                <c:pt idx="3">
                  <c:v>26</c:v>
                </c:pt>
                <c:pt idx="4">
                  <c:v>29.2</c:v>
                </c:pt>
                <c:pt idx="5">
                  <c:v>38</c:v>
                </c:pt>
                <c:pt idx="6">
                  <c:v>37</c:v>
                </c:pt>
              </c:numCache>
            </c:numRef>
          </c:val>
          <c:smooth val="0"/>
          <c:extLst>
            <c:ext xmlns:c16="http://schemas.microsoft.com/office/drawing/2014/chart" uri="{C3380CC4-5D6E-409C-BE32-E72D297353CC}">
              <c16:uniqueId val="{00000001-10C5-4F8A-9336-422B45B43B10}"/>
            </c:ext>
          </c:extLst>
        </c:ser>
        <c:dLbls>
          <c:showLegendKey val="0"/>
          <c:showVal val="0"/>
          <c:showCatName val="0"/>
          <c:showSerName val="0"/>
          <c:showPercent val="0"/>
          <c:showBubbleSize val="0"/>
        </c:dLbls>
        <c:marker val="1"/>
        <c:smooth val="0"/>
        <c:axId val="1450874896"/>
        <c:axId val="1450878224"/>
      </c:lineChart>
      <c:catAx>
        <c:axId val="134089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28195120"/>
        <c:crosses val="autoZero"/>
        <c:auto val="1"/>
        <c:lblAlgn val="ctr"/>
        <c:lblOffset val="100"/>
        <c:noMultiLvlLbl val="0"/>
      </c:catAx>
      <c:valAx>
        <c:axId val="1228195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HRT years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40890928"/>
        <c:crosses val="autoZero"/>
        <c:crossBetween val="between"/>
      </c:valAx>
      <c:valAx>
        <c:axId val="1450878224"/>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 µg/L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50874896"/>
        <c:crosses val="max"/>
        <c:crossBetween val="between"/>
      </c:valAx>
      <c:catAx>
        <c:axId val="1450874896"/>
        <c:scaling>
          <c:orientation val="minMax"/>
        </c:scaling>
        <c:delete val="1"/>
        <c:axPos val="b"/>
        <c:numFmt formatCode="General" sourceLinked="1"/>
        <c:majorTickMark val="out"/>
        <c:minorTickMark val="none"/>
        <c:tickLblPos val="nextTo"/>
        <c:crossAx val="14508782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Pipe Lake</a:t>
            </a:r>
          </a:p>
          <a:p>
            <a:pPr>
              <a:defRPr/>
            </a:pPr>
            <a:r>
              <a:rPr lang="en-US"/>
              <a:t>Hydraulic Retention Time vs. Growing Season Mean 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Hydraulic Retention Time</c:v>
          </c:tx>
          <c:spPr>
            <a:solidFill>
              <a:schemeClr val="accent6"/>
            </a:solidFill>
            <a:ln>
              <a:noFill/>
            </a:ln>
            <a:effectLst/>
          </c:spPr>
          <c:invertIfNegative val="0"/>
          <c:cat>
            <c:numRef>
              <c:f>Sheet3!$A$4:$A$10</c:f>
              <c:numCache>
                <c:formatCode>General</c:formatCode>
                <c:ptCount val="7"/>
                <c:pt idx="0">
                  <c:v>2015</c:v>
                </c:pt>
                <c:pt idx="1">
                  <c:v>2016</c:v>
                </c:pt>
                <c:pt idx="2">
                  <c:v>2017</c:v>
                </c:pt>
                <c:pt idx="3">
                  <c:v>2018</c:v>
                </c:pt>
                <c:pt idx="4">
                  <c:v>2019</c:v>
                </c:pt>
                <c:pt idx="5">
                  <c:v>2020</c:v>
                </c:pt>
                <c:pt idx="6">
                  <c:v>2021</c:v>
                </c:pt>
              </c:numCache>
            </c:numRef>
          </c:cat>
          <c:val>
            <c:numRef>
              <c:f>Sheet3!$E$4:$E$10</c:f>
              <c:numCache>
                <c:formatCode>General</c:formatCode>
                <c:ptCount val="7"/>
                <c:pt idx="0">
                  <c:v>4.8499999999999996</c:v>
                </c:pt>
                <c:pt idx="1">
                  <c:v>5.75</c:v>
                </c:pt>
                <c:pt idx="2">
                  <c:v>5.05</c:v>
                </c:pt>
                <c:pt idx="3">
                  <c:v>5.92</c:v>
                </c:pt>
                <c:pt idx="4">
                  <c:v>5.14</c:v>
                </c:pt>
                <c:pt idx="5">
                  <c:v>6.02</c:v>
                </c:pt>
                <c:pt idx="6">
                  <c:v>6.92</c:v>
                </c:pt>
              </c:numCache>
            </c:numRef>
          </c:val>
          <c:extLst>
            <c:ext xmlns:c16="http://schemas.microsoft.com/office/drawing/2014/chart" uri="{C3380CC4-5D6E-409C-BE32-E72D297353CC}">
              <c16:uniqueId val="{00000000-CBB5-41B5-8D67-C47D411B9621}"/>
            </c:ext>
          </c:extLst>
        </c:ser>
        <c:dLbls>
          <c:showLegendKey val="0"/>
          <c:showVal val="0"/>
          <c:showCatName val="0"/>
          <c:showSerName val="0"/>
          <c:showPercent val="0"/>
          <c:showBubbleSize val="0"/>
        </c:dLbls>
        <c:gapWidth val="150"/>
        <c:axId val="1296774160"/>
        <c:axId val="1375655696"/>
      </c:barChart>
      <c:lineChart>
        <c:grouping val="standard"/>
        <c:varyColors val="0"/>
        <c:ser>
          <c:idx val="1"/>
          <c:order val="1"/>
          <c:tx>
            <c:v>Growing Season Mean P</c:v>
          </c:tx>
          <c:spPr>
            <a:ln w="19050" cap="rnd">
              <a:solidFill>
                <a:schemeClr val="accent5"/>
              </a:solidFill>
              <a:round/>
            </a:ln>
            <a:effectLst/>
          </c:spPr>
          <c:marker>
            <c:symbol val="none"/>
          </c:marker>
          <c:cat>
            <c:numRef>
              <c:f>Sheet3!$A$4:$A$10</c:f>
              <c:numCache>
                <c:formatCode>General</c:formatCode>
                <c:ptCount val="7"/>
                <c:pt idx="0">
                  <c:v>2015</c:v>
                </c:pt>
                <c:pt idx="1">
                  <c:v>2016</c:v>
                </c:pt>
                <c:pt idx="2">
                  <c:v>2017</c:v>
                </c:pt>
                <c:pt idx="3">
                  <c:v>2018</c:v>
                </c:pt>
                <c:pt idx="4">
                  <c:v>2019</c:v>
                </c:pt>
                <c:pt idx="5">
                  <c:v>2020</c:v>
                </c:pt>
                <c:pt idx="6">
                  <c:v>2021</c:v>
                </c:pt>
              </c:numCache>
            </c:numRef>
          </c:cat>
          <c:val>
            <c:numRef>
              <c:f>Sheet3!$G$4:$G$10</c:f>
              <c:numCache>
                <c:formatCode>General</c:formatCode>
                <c:ptCount val="7"/>
                <c:pt idx="0">
                  <c:v>10.72</c:v>
                </c:pt>
                <c:pt idx="1">
                  <c:v>12.97</c:v>
                </c:pt>
                <c:pt idx="2">
                  <c:v>12.77</c:v>
                </c:pt>
                <c:pt idx="3">
                  <c:v>12.43</c:v>
                </c:pt>
                <c:pt idx="4">
                  <c:v>15.13</c:v>
                </c:pt>
                <c:pt idx="5">
                  <c:v>19</c:v>
                </c:pt>
                <c:pt idx="6">
                  <c:v>15.73</c:v>
                </c:pt>
              </c:numCache>
            </c:numRef>
          </c:val>
          <c:smooth val="0"/>
          <c:extLst>
            <c:ext xmlns:c16="http://schemas.microsoft.com/office/drawing/2014/chart" uri="{C3380CC4-5D6E-409C-BE32-E72D297353CC}">
              <c16:uniqueId val="{00000001-CBB5-41B5-8D67-C47D411B9621}"/>
            </c:ext>
          </c:extLst>
        </c:ser>
        <c:dLbls>
          <c:showLegendKey val="0"/>
          <c:showVal val="0"/>
          <c:showCatName val="0"/>
          <c:showSerName val="0"/>
          <c:showPercent val="0"/>
          <c:showBubbleSize val="0"/>
        </c:dLbls>
        <c:marker val="1"/>
        <c:smooth val="0"/>
        <c:axId val="1526932544"/>
        <c:axId val="1526932128"/>
      </c:lineChart>
      <c:catAx>
        <c:axId val="1296774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75655696"/>
        <c:crosses val="autoZero"/>
        <c:auto val="1"/>
        <c:lblAlgn val="ctr"/>
        <c:lblOffset val="100"/>
        <c:noMultiLvlLbl val="0"/>
      </c:catAx>
      <c:valAx>
        <c:axId val="1375655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HRT years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296774160"/>
        <c:crosses val="autoZero"/>
        <c:crossBetween val="between"/>
      </c:valAx>
      <c:valAx>
        <c:axId val="152693212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 µg/l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26932544"/>
        <c:crosses val="max"/>
        <c:crossBetween val="between"/>
      </c:valAx>
      <c:catAx>
        <c:axId val="1526932544"/>
        <c:scaling>
          <c:orientation val="minMax"/>
        </c:scaling>
        <c:delete val="1"/>
        <c:axPos val="b"/>
        <c:numFmt formatCode="General" sourceLinked="1"/>
        <c:majorTickMark val="out"/>
        <c:minorTickMark val="none"/>
        <c:tickLblPos val="nextTo"/>
        <c:crossAx val="15269321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Pipe</a:t>
            </a:r>
            <a:r>
              <a:rPr lang="en-US" baseline="0"/>
              <a:t> Lake </a:t>
            </a:r>
          </a:p>
          <a:p>
            <a:pPr>
              <a:defRPr/>
            </a:pPr>
            <a:r>
              <a:rPr lang="en-US" baseline="0"/>
              <a:t>Areal Load of P vs. Watershed Areal Load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v>Pipe Lake Areal Load</c:v>
          </c:tx>
          <c:spPr>
            <a:solidFill>
              <a:schemeClr val="accent1"/>
            </a:solidFill>
            <a:ln>
              <a:noFill/>
            </a:ln>
            <a:effectLst/>
          </c:spPr>
          <c:invertIfNegative val="0"/>
          <c:cat>
            <c:numRef>
              <c:f>Sheet4!$A$3:$A$9</c:f>
              <c:numCache>
                <c:formatCode>General</c:formatCode>
                <c:ptCount val="7"/>
                <c:pt idx="0">
                  <c:v>2015</c:v>
                </c:pt>
                <c:pt idx="1">
                  <c:v>2016</c:v>
                </c:pt>
                <c:pt idx="2">
                  <c:v>2017</c:v>
                </c:pt>
                <c:pt idx="3">
                  <c:v>2018</c:v>
                </c:pt>
                <c:pt idx="4">
                  <c:v>2019</c:v>
                </c:pt>
                <c:pt idx="5">
                  <c:v>2020</c:v>
                </c:pt>
                <c:pt idx="6">
                  <c:v>2021</c:v>
                </c:pt>
              </c:numCache>
            </c:numRef>
          </c:cat>
          <c:val>
            <c:numRef>
              <c:f>Sheet4!$B$3:$B$9</c:f>
              <c:numCache>
                <c:formatCode>General</c:formatCode>
                <c:ptCount val="7"/>
                <c:pt idx="0">
                  <c:v>173.83</c:v>
                </c:pt>
                <c:pt idx="1">
                  <c:v>166.69</c:v>
                </c:pt>
                <c:pt idx="2">
                  <c:v>168.34</c:v>
                </c:pt>
                <c:pt idx="3">
                  <c:v>161.57</c:v>
                </c:pt>
                <c:pt idx="4">
                  <c:v>173.83</c:v>
                </c:pt>
                <c:pt idx="5">
                  <c:v>173.83</c:v>
                </c:pt>
                <c:pt idx="6">
                  <c:v>160.74</c:v>
                </c:pt>
              </c:numCache>
            </c:numRef>
          </c:val>
          <c:extLst>
            <c:ext xmlns:c16="http://schemas.microsoft.com/office/drawing/2014/chart" uri="{C3380CC4-5D6E-409C-BE32-E72D297353CC}">
              <c16:uniqueId val="{00000000-0B37-466E-89FB-740FC68218D2}"/>
            </c:ext>
          </c:extLst>
        </c:ser>
        <c:dLbls>
          <c:showLegendKey val="0"/>
          <c:showVal val="0"/>
          <c:showCatName val="0"/>
          <c:showSerName val="0"/>
          <c:showPercent val="0"/>
          <c:showBubbleSize val="0"/>
        </c:dLbls>
        <c:gapWidth val="150"/>
        <c:axId val="1452055408"/>
        <c:axId val="1452055824"/>
      </c:barChart>
      <c:lineChart>
        <c:grouping val="standard"/>
        <c:varyColors val="0"/>
        <c:ser>
          <c:idx val="1"/>
          <c:order val="1"/>
          <c:tx>
            <c:v>North Pipe P discharge</c:v>
          </c:tx>
          <c:spPr>
            <a:ln w="19050" cap="rnd">
              <a:solidFill>
                <a:schemeClr val="accent3"/>
              </a:solidFill>
              <a:round/>
            </a:ln>
            <a:effectLst/>
          </c:spPr>
          <c:marker>
            <c:symbol val="none"/>
          </c:marker>
          <c:cat>
            <c:numRef>
              <c:f>Sheet4!$A$3:$A$9</c:f>
              <c:numCache>
                <c:formatCode>General</c:formatCode>
                <c:ptCount val="7"/>
                <c:pt idx="0">
                  <c:v>2015</c:v>
                </c:pt>
                <c:pt idx="1">
                  <c:v>2016</c:v>
                </c:pt>
                <c:pt idx="2">
                  <c:v>2017</c:v>
                </c:pt>
                <c:pt idx="3">
                  <c:v>2018</c:v>
                </c:pt>
                <c:pt idx="4">
                  <c:v>2019</c:v>
                </c:pt>
                <c:pt idx="5">
                  <c:v>2020</c:v>
                </c:pt>
                <c:pt idx="6">
                  <c:v>2021</c:v>
                </c:pt>
              </c:numCache>
            </c:numRef>
          </c:cat>
          <c:val>
            <c:numRef>
              <c:f>Sheet4!$C$3:$C$9</c:f>
              <c:numCache>
                <c:formatCode>General</c:formatCode>
                <c:ptCount val="7"/>
                <c:pt idx="0">
                  <c:v>38.5</c:v>
                </c:pt>
                <c:pt idx="1">
                  <c:v>30.7</c:v>
                </c:pt>
                <c:pt idx="2">
                  <c:v>32.5</c:v>
                </c:pt>
                <c:pt idx="3">
                  <c:v>25.1</c:v>
                </c:pt>
                <c:pt idx="4">
                  <c:v>27.4</c:v>
                </c:pt>
                <c:pt idx="5">
                  <c:v>38.5</c:v>
                </c:pt>
                <c:pt idx="6">
                  <c:v>24.2</c:v>
                </c:pt>
              </c:numCache>
            </c:numRef>
          </c:val>
          <c:smooth val="0"/>
          <c:extLst>
            <c:ext xmlns:c16="http://schemas.microsoft.com/office/drawing/2014/chart" uri="{C3380CC4-5D6E-409C-BE32-E72D297353CC}">
              <c16:uniqueId val="{00000001-0B37-466E-89FB-740FC68218D2}"/>
            </c:ext>
          </c:extLst>
        </c:ser>
        <c:dLbls>
          <c:showLegendKey val="0"/>
          <c:showVal val="0"/>
          <c:showCatName val="0"/>
          <c:showSerName val="0"/>
          <c:showPercent val="0"/>
          <c:showBubbleSize val="0"/>
        </c:dLbls>
        <c:marker val="1"/>
        <c:smooth val="0"/>
        <c:axId val="1532797296"/>
        <c:axId val="1532818096"/>
      </c:lineChart>
      <c:catAx>
        <c:axId val="1452055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52055824"/>
        <c:crosses val="autoZero"/>
        <c:auto val="1"/>
        <c:lblAlgn val="ctr"/>
        <c:lblOffset val="100"/>
        <c:noMultiLvlLbl val="0"/>
      </c:catAx>
      <c:valAx>
        <c:axId val="1452055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Pipe Lake Areal Loading  P mg/m^2</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52055408"/>
        <c:crosses val="autoZero"/>
        <c:crossBetween val="between"/>
      </c:valAx>
      <c:valAx>
        <c:axId val="1532818096"/>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 kg/yr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532797296"/>
        <c:crosses val="max"/>
        <c:crossBetween val="between"/>
      </c:valAx>
      <c:catAx>
        <c:axId val="1532797296"/>
        <c:scaling>
          <c:orientation val="minMax"/>
        </c:scaling>
        <c:delete val="1"/>
        <c:axPos val="b"/>
        <c:numFmt formatCode="General" sourceLinked="1"/>
        <c:majorTickMark val="out"/>
        <c:minorTickMark val="none"/>
        <c:tickLblPos val="nextTo"/>
        <c:crossAx val="15328180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Arial Black" panose="020B0A04020102020204" pitchFamily="34" charset="0"/>
                <a:cs typeface="Arial" panose="020B0604020202020204" pitchFamily="34" charset="0"/>
              </a:rPr>
              <a:t>North</a:t>
            </a:r>
            <a:r>
              <a:rPr lang="en-US" b="1" baseline="0">
                <a:latin typeface="Arial Black" panose="020B0A04020102020204" pitchFamily="34" charset="0"/>
                <a:cs typeface="Arial" panose="020B0604020202020204" pitchFamily="34" charset="0"/>
              </a:rPr>
              <a:t> Pipe Lake + SedPond + Tributaries</a:t>
            </a:r>
            <a:endParaRPr lang="en-US" b="1">
              <a:latin typeface="Arial Black" panose="020B0A040201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573523631310586E-2"/>
          <c:y val="8.0209908989541265E-2"/>
          <c:w val="0.90997408131215551"/>
          <c:h val="0.7998532658362536"/>
        </c:manualLayout>
      </c:layout>
      <c:scatterChart>
        <c:scatterStyle val="lineMarker"/>
        <c:varyColors val="0"/>
        <c:ser>
          <c:idx val="0"/>
          <c:order val="0"/>
          <c:tx>
            <c:strRef>
              <c:f>Sheet4!$E$3</c:f>
              <c:strCache>
                <c:ptCount val="1"/>
                <c:pt idx="0">
                  <c:v>MWL</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tx1"/>
                </a:solidFill>
                <a:prstDash val="dash"/>
              </a:ln>
              <a:effectLst/>
            </c:spPr>
            <c:trendlineType val="linear"/>
            <c:dispRSqr val="0"/>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Sheet4!$D$4:$D$35</c:f>
              <c:numCache>
                <c:formatCode>General</c:formatCode>
                <c:ptCount val="32"/>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-7.0409080000000017</c:v>
                </c:pt>
                <c:pt idx="16" formatCode="0.00">
                  <c:v>-7.134072333333334</c:v>
                </c:pt>
                <c:pt idx="17" formatCode="0.00">
                  <c:v>-7.0526796666666662</c:v>
                </c:pt>
                <c:pt idx="18" formatCode="0.00">
                  <c:v>-6.9272604000000015</c:v>
                </c:pt>
                <c:pt idx="19" formatCode="0.00">
                  <c:v>-5.5683490999999998</c:v>
                </c:pt>
                <c:pt idx="20" formatCode="0.00">
                  <c:v>-7.245928000000001</c:v>
                </c:pt>
                <c:pt idx="21" formatCode="0.00">
                  <c:v>-7.2678136000000002</c:v>
                </c:pt>
                <c:pt idx="22" formatCode="0.00">
                  <c:v>-7.2346938999999999</c:v>
                </c:pt>
                <c:pt idx="23" formatCode="0.00">
                  <c:v>-2.3693333333333335</c:v>
                </c:pt>
                <c:pt idx="24" formatCode="0.00">
                  <c:v>-12.984590666666662</c:v>
                </c:pt>
                <c:pt idx="25" formatCode="0.00">
                  <c:v>-7.3412536666666668</c:v>
                </c:pt>
                <c:pt idx="26" formatCode="0.00">
                  <c:v>-7.741006800000001</c:v>
                </c:pt>
                <c:pt idx="27" formatCode="0.00">
                  <c:v>-7.6090299999999997</c:v>
                </c:pt>
                <c:pt idx="28" formatCode="0.00">
                  <c:v>-7.5397256000000006</c:v>
                </c:pt>
                <c:pt idx="29" formatCode="0.00">
                  <c:v>-7.0463048000000006</c:v>
                </c:pt>
                <c:pt idx="30" formatCode="0.00">
                  <c:v>-6.9776636000000005</c:v>
                </c:pt>
                <c:pt idx="31" formatCode="0.00">
                  <c:v>-6.9657260000000001</c:v>
                </c:pt>
              </c:numCache>
            </c:numRef>
          </c:xVal>
          <c:yVal>
            <c:numRef>
              <c:f>Sheet4!$E$4:$E$35</c:f>
              <c:numCache>
                <c:formatCode>General</c:formatCode>
                <c:ptCount val="32"/>
                <c:pt idx="0">
                  <c:v>-33.04</c:v>
                </c:pt>
                <c:pt idx="1">
                  <c:v>-58.24</c:v>
                </c:pt>
                <c:pt idx="2">
                  <c:v>-62.72</c:v>
                </c:pt>
                <c:pt idx="3">
                  <c:v>-29.6</c:v>
                </c:pt>
                <c:pt idx="4">
                  <c:v>-80.72</c:v>
                </c:pt>
                <c:pt idx="5">
                  <c:v>-81.52</c:v>
                </c:pt>
                <c:pt idx="6">
                  <c:v>-88.88</c:v>
                </c:pt>
                <c:pt idx="7">
                  <c:v>-46.32</c:v>
                </c:pt>
                <c:pt idx="8">
                  <c:v>-59.76</c:v>
                </c:pt>
                <c:pt idx="9">
                  <c:v>-56.24</c:v>
                </c:pt>
                <c:pt idx="10">
                  <c:v>-96.32</c:v>
                </c:pt>
                <c:pt idx="11">
                  <c:v>-25.76</c:v>
                </c:pt>
              </c:numCache>
            </c:numRef>
          </c:yVal>
          <c:smooth val="0"/>
          <c:extLst>
            <c:ext xmlns:c16="http://schemas.microsoft.com/office/drawing/2014/chart" uri="{C3380CC4-5D6E-409C-BE32-E72D297353CC}">
              <c16:uniqueId val="{00000001-C535-44FA-87FD-E3F66EDF18FC}"/>
            </c:ext>
          </c:extLst>
        </c:ser>
        <c:ser>
          <c:idx val="1"/>
          <c:order val="1"/>
          <c:tx>
            <c:strRef>
              <c:f>Sheet4!$F$3</c:f>
              <c:strCache>
                <c:ptCount val="1"/>
                <c:pt idx="0">
                  <c:v>2019</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2.2285088957660914E-2"/>
                  <c:y val="0.1697204502835128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Sheet4!$D$4:$D$35</c:f>
              <c:numCache>
                <c:formatCode>General</c:formatCode>
                <c:ptCount val="32"/>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-7.0409080000000017</c:v>
                </c:pt>
                <c:pt idx="16" formatCode="0.00">
                  <c:v>-7.134072333333334</c:v>
                </c:pt>
                <c:pt idx="17" formatCode="0.00">
                  <c:v>-7.0526796666666662</c:v>
                </c:pt>
                <c:pt idx="18" formatCode="0.00">
                  <c:v>-6.9272604000000015</c:v>
                </c:pt>
                <c:pt idx="19" formatCode="0.00">
                  <c:v>-5.5683490999999998</c:v>
                </c:pt>
                <c:pt idx="20" formatCode="0.00">
                  <c:v>-7.245928000000001</c:v>
                </c:pt>
                <c:pt idx="21" formatCode="0.00">
                  <c:v>-7.2678136000000002</c:v>
                </c:pt>
                <c:pt idx="22" formatCode="0.00">
                  <c:v>-7.2346938999999999</c:v>
                </c:pt>
                <c:pt idx="23" formatCode="0.00">
                  <c:v>-2.3693333333333335</c:v>
                </c:pt>
                <c:pt idx="24" formatCode="0.00">
                  <c:v>-12.984590666666662</c:v>
                </c:pt>
                <c:pt idx="25" formatCode="0.00">
                  <c:v>-7.3412536666666668</c:v>
                </c:pt>
                <c:pt idx="26" formatCode="0.00">
                  <c:v>-7.741006800000001</c:v>
                </c:pt>
                <c:pt idx="27" formatCode="0.00">
                  <c:v>-7.6090299999999997</c:v>
                </c:pt>
                <c:pt idx="28" formatCode="0.00">
                  <c:v>-7.5397256000000006</c:v>
                </c:pt>
                <c:pt idx="29" formatCode="0.00">
                  <c:v>-7.0463048000000006</c:v>
                </c:pt>
                <c:pt idx="30" formatCode="0.00">
                  <c:v>-6.9776636000000005</c:v>
                </c:pt>
                <c:pt idx="31" formatCode="0.00">
                  <c:v>-6.9657260000000001</c:v>
                </c:pt>
              </c:numCache>
            </c:numRef>
          </c:xVal>
          <c:yVal>
            <c:numRef>
              <c:f>Sheet4!$F$4:$F$35</c:f>
              <c:numCache>
                <c:formatCode>General</c:formatCode>
                <c:ptCount val="32"/>
                <c:pt idx="12" formatCode="0.0">
                  <c:v>-65.980333333333334</c:v>
                </c:pt>
                <c:pt idx="13" formatCode="0.0">
                  <c:v>-54.731333333333339</c:v>
                </c:pt>
                <c:pt idx="14" formatCode="0.0">
                  <c:v>-46.414999999999999</c:v>
                </c:pt>
              </c:numCache>
            </c:numRef>
          </c:yVal>
          <c:smooth val="0"/>
          <c:extLst>
            <c:ext xmlns:c16="http://schemas.microsoft.com/office/drawing/2014/chart" uri="{C3380CC4-5D6E-409C-BE32-E72D297353CC}">
              <c16:uniqueId val="{00000003-C535-44FA-87FD-E3F66EDF18FC}"/>
            </c:ext>
          </c:extLst>
        </c:ser>
        <c:ser>
          <c:idx val="2"/>
          <c:order val="2"/>
          <c:tx>
            <c:strRef>
              <c:f>Sheet4!$G$3</c:f>
              <c:strCache>
                <c:ptCount val="1"/>
                <c:pt idx="0">
                  <c:v>2020</c:v>
                </c:pt>
              </c:strCache>
            </c:strRef>
          </c:tx>
          <c:spPr>
            <a:ln w="19050" cap="rnd">
              <a:noFill/>
              <a:round/>
            </a:ln>
            <a:effectLst/>
          </c:spPr>
          <c:marker>
            <c:symbol val="circle"/>
            <c:size val="5"/>
            <c:spPr>
              <a:solidFill>
                <a:schemeClr val="accent3"/>
              </a:solidFill>
              <a:ln w="9525">
                <a:solidFill>
                  <a:schemeClr val="accent3"/>
                </a:solidFill>
              </a:ln>
              <a:effectLst/>
            </c:spPr>
          </c:marker>
          <c:xVal>
            <c:numRef>
              <c:f>Sheet4!$D$4:$D$35</c:f>
              <c:numCache>
                <c:formatCode>General</c:formatCode>
                <c:ptCount val="32"/>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-7.0409080000000017</c:v>
                </c:pt>
                <c:pt idx="16" formatCode="0.00">
                  <c:v>-7.134072333333334</c:v>
                </c:pt>
                <c:pt idx="17" formatCode="0.00">
                  <c:v>-7.0526796666666662</c:v>
                </c:pt>
                <c:pt idx="18" formatCode="0.00">
                  <c:v>-6.9272604000000015</c:v>
                </c:pt>
                <c:pt idx="19" formatCode="0.00">
                  <c:v>-5.5683490999999998</c:v>
                </c:pt>
                <c:pt idx="20" formatCode="0.00">
                  <c:v>-7.245928000000001</c:v>
                </c:pt>
                <c:pt idx="21" formatCode="0.00">
                  <c:v>-7.2678136000000002</c:v>
                </c:pt>
                <c:pt idx="22" formatCode="0.00">
                  <c:v>-7.2346938999999999</c:v>
                </c:pt>
                <c:pt idx="23" formatCode="0.00">
                  <c:v>-2.3693333333333335</c:v>
                </c:pt>
                <c:pt idx="24" formatCode="0.00">
                  <c:v>-12.984590666666662</c:v>
                </c:pt>
                <c:pt idx="25" formatCode="0.00">
                  <c:v>-7.3412536666666668</c:v>
                </c:pt>
                <c:pt idx="26" formatCode="0.00">
                  <c:v>-7.741006800000001</c:v>
                </c:pt>
                <c:pt idx="27" formatCode="0.00">
                  <c:v>-7.6090299999999997</c:v>
                </c:pt>
                <c:pt idx="28" formatCode="0.00">
                  <c:v>-7.5397256000000006</c:v>
                </c:pt>
                <c:pt idx="29" formatCode="0.00">
                  <c:v>-7.0463048000000006</c:v>
                </c:pt>
                <c:pt idx="30" formatCode="0.00">
                  <c:v>-6.9776636000000005</c:v>
                </c:pt>
                <c:pt idx="31" formatCode="0.00">
                  <c:v>-6.9657260000000001</c:v>
                </c:pt>
              </c:numCache>
            </c:numRef>
          </c:xVal>
          <c:yVal>
            <c:numRef>
              <c:f>Sheet4!$G$4:$G$35</c:f>
              <c:numCache>
                <c:formatCode>General</c:formatCode>
                <c:ptCount val="32"/>
                <c:pt idx="15" formatCode="0.0">
                  <c:v>-58.360934582313348</c:v>
                </c:pt>
                <c:pt idx="16" formatCode="0.0">
                  <c:v>-57.719755496646663</c:v>
                </c:pt>
                <c:pt idx="17" formatCode="0.0">
                  <c:v>-55.842788089026676</c:v>
                </c:pt>
              </c:numCache>
            </c:numRef>
          </c:yVal>
          <c:smooth val="0"/>
          <c:extLst>
            <c:ext xmlns:c16="http://schemas.microsoft.com/office/drawing/2014/chart" uri="{C3380CC4-5D6E-409C-BE32-E72D297353CC}">
              <c16:uniqueId val="{00000004-C535-44FA-87FD-E3F66EDF18FC}"/>
            </c:ext>
          </c:extLst>
        </c:ser>
        <c:ser>
          <c:idx val="3"/>
          <c:order val="3"/>
          <c:tx>
            <c:strRef>
              <c:f>Sheet4!$H$3</c:f>
              <c:strCache>
                <c:ptCount val="1"/>
                <c:pt idx="0">
                  <c:v>2021</c:v>
                </c:pt>
              </c:strCache>
            </c:strRef>
          </c:tx>
          <c:spPr>
            <a:ln w="19050" cap="rnd">
              <a:noFill/>
              <a:round/>
            </a:ln>
            <a:effectLst/>
          </c:spPr>
          <c:marker>
            <c:symbol val="circle"/>
            <c:size val="5"/>
            <c:spPr>
              <a:solidFill>
                <a:schemeClr val="accent4"/>
              </a:solidFill>
              <a:ln w="9525">
                <a:solidFill>
                  <a:schemeClr val="accent4"/>
                </a:solidFill>
              </a:ln>
              <a:effectLst/>
            </c:spPr>
          </c:marker>
          <c:xVal>
            <c:numRef>
              <c:f>Sheet4!$D$4:$D$35</c:f>
              <c:numCache>
                <c:formatCode>General</c:formatCode>
                <c:ptCount val="32"/>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-7.0409080000000017</c:v>
                </c:pt>
                <c:pt idx="16" formatCode="0.00">
                  <c:v>-7.134072333333334</c:v>
                </c:pt>
                <c:pt idx="17" formatCode="0.00">
                  <c:v>-7.0526796666666662</c:v>
                </c:pt>
                <c:pt idx="18" formatCode="0.00">
                  <c:v>-6.9272604000000015</c:v>
                </c:pt>
                <c:pt idx="19" formatCode="0.00">
                  <c:v>-5.5683490999999998</c:v>
                </c:pt>
                <c:pt idx="20" formatCode="0.00">
                  <c:v>-7.245928000000001</c:v>
                </c:pt>
                <c:pt idx="21" formatCode="0.00">
                  <c:v>-7.2678136000000002</c:v>
                </c:pt>
                <c:pt idx="22" formatCode="0.00">
                  <c:v>-7.2346938999999999</c:v>
                </c:pt>
                <c:pt idx="23" formatCode="0.00">
                  <c:v>-2.3693333333333335</c:v>
                </c:pt>
                <c:pt idx="24" formatCode="0.00">
                  <c:v>-12.984590666666662</c:v>
                </c:pt>
                <c:pt idx="25" formatCode="0.00">
                  <c:v>-7.3412536666666668</c:v>
                </c:pt>
                <c:pt idx="26" formatCode="0.00">
                  <c:v>-7.741006800000001</c:v>
                </c:pt>
                <c:pt idx="27" formatCode="0.00">
                  <c:v>-7.6090299999999997</c:v>
                </c:pt>
                <c:pt idx="28" formatCode="0.00">
                  <c:v>-7.5397256000000006</c:v>
                </c:pt>
                <c:pt idx="29" formatCode="0.00">
                  <c:v>-7.0463048000000006</c:v>
                </c:pt>
                <c:pt idx="30" formatCode="0.00">
                  <c:v>-6.9776636000000005</c:v>
                </c:pt>
                <c:pt idx="31" formatCode="0.00">
                  <c:v>-6.9657260000000001</c:v>
                </c:pt>
              </c:numCache>
            </c:numRef>
          </c:xVal>
          <c:yVal>
            <c:numRef>
              <c:f>Sheet4!$H$4:$H$35</c:f>
              <c:numCache>
                <c:formatCode>General</c:formatCode>
                <c:ptCount val="32"/>
                <c:pt idx="18" formatCode="0.00">
                  <c:v>-54.756439666666658</c:v>
                </c:pt>
                <c:pt idx="20" formatCode="0.00">
                  <c:v>-56.79981433333333</c:v>
                </c:pt>
                <c:pt idx="21" formatCode="0.00">
                  <c:v>-56.92226999999999</c:v>
                </c:pt>
              </c:numCache>
            </c:numRef>
          </c:yVal>
          <c:smooth val="0"/>
          <c:extLst>
            <c:ext xmlns:c16="http://schemas.microsoft.com/office/drawing/2014/chart" uri="{C3380CC4-5D6E-409C-BE32-E72D297353CC}">
              <c16:uniqueId val="{00000005-C535-44FA-87FD-E3F66EDF18FC}"/>
            </c:ext>
          </c:extLst>
        </c:ser>
        <c:ser>
          <c:idx val="4"/>
          <c:order val="4"/>
          <c:tx>
            <c:strRef>
              <c:f>Sheet4!$I$3</c:f>
              <c:strCache>
                <c:ptCount val="1"/>
                <c:pt idx="0">
                  <c:v>Z-depth</c:v>
                </c:pt>
              </c:strCache>
            </c:strRef>
          </c:tx>
          <c:spPr>
            <a:ln w="19050" cap="rnd">
              <a:no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linear"/>
            <c:dispRSqr val="0"/>
            <c:dispEq val="1"/>
            <c:trendlineLbl>
              <c:layout>
                <c:manualLayout>
                  <c:x val="-0.52658960724283843"/>
                  <c:y val="0.2213691597331834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Sheet4!$D$4:$D$35</c:f>
              <c:numCache>
                <c:formatCode>General</c:formatCode>
                <c:ptCount val="32"/>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-7.0409080000000017</c:v>
                </c:pt>
                <c:pt idx="16" formatCode="0.00">
                  <c:v>-7.134072333333334</c:v>
                </c:pt>
                <c:pt idx="17" formatCode="0.00">
                  <c:v>-7.0526796666666662</c:v>
                </c:pt>
                <c:pt idx="18" formatCode="0.00">
                  <c:v>-6.9272604000000015</c:v>
                </c:pt>
                <c:pt idx="19" formatCode="0.00">
                  <c:v>-5.5683490999999998</c:v>
                </c:pt>
                <c:pt idx="20" formatCode="0.00">
                  <c:v>-7.245928000000001</c:v>
                </c:pt>
                <c:pt idx="21" formatCode="0.00">
                  <c:v>-7.2678136000000002</c:v>
                </c:pt>
                <c:pt idx="22" formatCode="0.00">
                  <c:v>-7.2346938999999999</c:v>
                </c:pt>
                <c:pt idx="23" formatCode="0.00">
                  <c:v>-2.3693333333333335</c:v>
                </c:pt>
                <c:pt idx="24" formatCode="0.00">
                  <c:v>-12.984590666666662</c:v>
                </c:pt>
                <c:pt idx="25" formatCode="0.00">
                  <c:v>-7.3412536666666668</c:v>
                </c:pt>
                <c:pt idx="26" formatCode="0.00">
                  <c:v>-7.741006800000001</c:v>
                </c:pt>
                <c:pt idx="27" formatCode="0.00">
                  <c:v>-7.6090299999999997</c:v>
                </c:pt>
                <c:pt idx="28" formatCode="0.00">
                  <c:v>-7.5397256000000006</c:v>
                </c:pt>
                <c:pt idx="29" formatCode="0.00">
                  <c:v>-7.0463048000000006</c:v>
                </c:pt>
                <c:pt idx="30" formatCode="0.00">
                  <c:v>-6.9776636000000005</c:v>
                </c:pt>
                <c:pt idx="31" formatCode="0.00">
                  <c:v>-6.9657260000000001</c:v>
                </c:pt>
              </c:numCache>
            </c:numRef>
          </c:xVal>
          <c:yVal>
            <c:numRef>
              <c:f>Sheet4!$I$4:$I$35</c:f>
              <c:numCache>
                <c:formatCode>General</c:formatCode>
                <c:ptCount val="32"/>
                <c:pt idx="19" formatCode="0.00">
                  <c:v>-49.051703733333326</c:v>
                </c:pt>
                <c:pt idx="22" formatCode="0.00">
                  <c:v>-57.002170933333332</c:v>
                </c:pt>
              </c:numCache>
            </c:numRef>
          </c:yVal>
          <c:smooth val="0"/>
          <c:extLst>
            <c:ext xmlns:c16="http://schemas.microsoft.com/office/drawing/2014/chart" uri="{C3380CC4-5D6E-409C-BE32-E72D297353CC}">
              <c16:uniqueId val="{00000007-C535-44FA-87FD-E3F66EDF18FC}"/>
            </c:ext>
          </c:extLst>
        </c:ser>
        <c:ser>
          <c:idx val="5"/>
          <c:order val="5"/>
          <c:tx>
            <c:strRef>
              <c:f>Sheet4!$J$3</c:f>
              <c:strCache>
                <c:ptCount val="1"/>
                <c:pt idx="0">
                  <c:v>SedPond</c:v>
                </c:pt>
              </c:strCache>
            </c:strRef>
          </c:tx>
          <c:spPr>
            <a:ln w="19050" cap="rnd">
              <a:noFill/>
              <a:round/>
            </a:ln>
            <a:effectLst/>
          </c:spPr>
          <c:marker>
            <c:symbol val="circle"/>
            <c:size val="5"/>
            <c:spPr>
              <a:solidFill>
                <a:schemeClr val="accent6"/>
              </a:solidFill>
              <a:ln w="9525">
                <a:solidFill>
                  <a:schemeClr val="accent6"/>
                </a:solidFill>
              </a:ln>
              <a:effectLst/>
            </c:spPr>
          </c:marker>
          <c:trendline>
            <c:spPr>
              <a:ln w="19050" cap="rnd">
                <a:solidFill>
                  <a:schemeClr val="accent6"/>
                </a:solidFill>
                <a:prstDash val="sysDot"/>
              </a:ln>
              <a:effectLst/>
            </c:spPr>
            <c:trendlineType val="linear"/>
            <c:dispRSqr val="0"/>
            <c:dispEq val="1"/>
            <c:trendlineLbl>
              <c:layout>
                <c:manualLayout>
                  <c:x val="1.8956327610738032E-2"/>
                  <c:y val="0.1337755062638516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Sheet4!$D$4:$D$35</c:f>
              <c:numCache>
                <c:formatCode>General</c:formatCode>
                <c:ptCount val="32"/>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-7.0409080000000017</c:v>
                </c:pt>
                <c:pt idx="16" formatCode="0.00">
                  <c:v>-7.134072333333334</c:v>
                </c:pt>
                <c:pt idx="17" formatCode="0.00">
                  <c:v>-7.0526796666666662</c:v>
                </c:pt>
                <c:pt idx="18" formatCode="0.00">
                  <c:v>-6.9272604000000015</c:v>
                </c:pt>
                <c:pt idx="19" formatCode="0.00">
                  <c:v>-5.5683490999999998</c:v>
                </c:pt>
                <c:pt idx="20" formatCode="0.00">
                  <c:v>-7.245928000000001</c:v>
                </c:pt>
                <c:pt idx="21" formatCode="0.00">
                  <c:v>-7.2678136000000002</c:v>
                </c:pt>
                <c:pt idx="22" formatCode="0.00">
                  <c:v>-7.2346938999999999</c:v>
                </c:pt>
                <c:pt idx="23" formatCode="0.00">
                  <c:v>-2.3693333333333335</c:v>
                </c:pt>
                <c:pt idx="24" formatCode="0.00">
                  <c:v>-12.984590666666662</c:v>
                </c:pt>
                <c:pt idx="25" formatCode="0.00">
                  <c:v>-7.3412536666666668</c:v>
                </c:pt>
                <c:pt idx="26" formatCode="0.00">
                  <c:v>-7.741006800000001</c:v>
                </c:pt>
                <c:pt idx="27" formatCode="0.00">
                  <c:v>-7.6090299999999997</c:v>
                </c:pt>
                <c:pt idx="28" formatCode="0.00">
                  <c:v>-7.5397256000000006</c:v>
                </c:pt>
                <c:pt idx="29" formatCode="0.00">
                  <c:v>-7.0463048000000006</c:v>
                </c:pt>
                <c:pt idx="30" formatCode="0.00">
                  <c:v>-6.9776636000000005</c:v>
                </c:pt>
                <c:pt idx="31" formatCode="0.00">
                  <c:v>-6.9657260000000001</c:v>
                </c:pt>
              </c:numCache>
            </c:numRef>
          </c:xVal>
          <c:yVal>
            <c:numRef>
              <c:f>Sheet4!$J$4:$J$35</c:f>
              <c:numCache>
                <c:formatCode>General</c:formatCode>
                <c:ptCount val="32"/>
                <c:pt idx="23" formatCode="0.0">
                  <c:v>-36.103666666666669</c:v>
                </c:pt>
                <c:pt idx="24" formatCode="0.0">
                  <c:v>-90.953754820133355</c:v>
                </c:pt>
                <c:pt idx="25" formatCode="0.0">
                  <c:v>-69.773922307180001</c:v>
                </c:pt>
                <c:pt idx="26" formatCode="0.00">
                  <c:v>-56.496511333333331</c:v>
                </c:pt>
              </c:numCache>
            </c:numRef>
          </c:yVal>
          <c:smooth val="0"/>
          <c:extLst>
            <c:ext xmlns:c16="http://schemas.microsoft.com/office/drawing/2014/chart" uri="{C3380CC4-5D6E-409C-BE32-E72D297353CC}">
              <c16:uniqueId val="{00000009-C535-44FA-87FD-E3F66EDF18FC}"/>
            </c:ext>
          </c:extLst>
        </c:ser>
        <c:ser>
          <c:idx val="6"/>
          <c:order val="6"/>
          <c:tx>
            <c:strRef>
              <c:f>Sheet4!$K$3</c:f>
              <c:strCache>
                <c:ptCount val="1"/>
                <c:pt idx="0">
                  <c:v>Shed</c:v>
                </c:pt>
              </c:strCache>
            </c:strRef>
          </c:tx>
          <c:spPr>
            <a:ln w="1905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Sheet4!$D$4:$D$35</c:f>
              <c:numCache>
                <c:formatCode>General</c:formatCode>
                <c:ptCount val="32"/>
                <c:pt idx="0">
                  <c:v>-5.38</c:v>
                </c:pt>
                <c:pt idx="1">
                  <c:v>-8.5299999999999994</c:v>
                </c:pt>
                <c:pt idx="2">
                  <c:v>-9.09</c:v>
                </c:pt>
                <c:pt idx="3">
                  <c:v>-4.95</c:v>
                </c:pt>
                <c:pt idx="4">
                  <c:v>-11.34</c:v>
                </c:pt>
                <c:pt idx="5">
                  <c:v>-11.44</c:v>
                </c:pt>
                <c:pt idx="6">
                  <c:v>-12.36</c:v>
                </c:pt>
                <c:pt idx="7">
                  <c:v>-7.04</c:v>
                </c:pt>
                <c:pt idx="8">
                  <c:v>-8.7200000000000006</c:v>
                </c:pt>
                <c:pt idx="9">
                  <c:v>-8.2799999999999994</c:v>
                </c:pt>
                <c:pt idx="10">
                  <c:v>-13.29</c:v>
                </c:pt>
                <c:pt idx="11">
                  <c:v>-4.47</c:v>
                </c:pt>
                <c:pt idx="12" formatCode="0.00">
                  <c:v>-7.6996666666666664</c:v>
                </c:pt>
                <c:pt idx="13" formatCode="0.00">
                  <c:v>-5.9083333333333323</c:v>
                </c:pt>
                <c:pt idx="14" formatCode="0.00">
                  <c:v>-4.1526666666666676</c:v>
                </c:pt>
                <c:pt idx="15" formatCode="0.00">
                  <c:v>-7.0409080000000017</c:v>
                </c:pt>
                <c:pt idx="16" formatCode="0.00">
                  <c:v>-7.134072333333334</c:v>
                </c:pt>
                <c:pt idx="17" formatCode="0.00">
                  <c:v>-7.0526796666666662</c:v>
                </c:pt>
                <c:pt idx="18" formatCode="0.00">
                  <c:v>-6.9272604000000015</c:v>
                </c:pt>
                <c:pt idx="19" formatCode="0.00">
                  <c:v>-5.5683490999999998</c:v>
                </c:pt>
                <c:pt idx="20" formatCode="0.00">
                  <c:v>-7.245928000000001</c:v>
                </c:pt>
                <c:pt idx="21" formatCode="0.00">
                  <c:v>-7.2678136000000002</c:v>
                </c:pt>
                <c:pt idx="22" formatCode="0.00">
                  <c:v>-7.2346938999999999</c:v>
                </c:pt>
                <c:pt idx="23" formatCode="0.00">
                  <c:v>-2.3693333333333335</c:v>
                </c:pt>
                <c:pt idx="24" formatCode="0.00">
                  <c:v>-12.984590666666662</c:v>
                </c:pt>
                <c:pt idx="25" formatCode="0.00">
                  <c:v>-7.3412536666666668</c:v>
                </c:pt>
                <c:pt idx="26" formatCode="0.00">
                  <c:v>-7.741006800000001</c:v>
                </c:pt>
                <c:pt idx="27" formatCode="0.00">
                  <c:v>-7.6090299999999997</c:v>
                </c:pt>
                <c:pt idx="28" formatCode="0.00">
                  <c:v>-7.5397256000000006</c:v>
                </c:pt>
                <c:pt idx="29" formatCode="0.00">
                  <c:v>-7.0463048000000006</c:v>
                </c:pt>
                <c:pt idx="30" formatCode="0.00">
                  <c:v>-6.9776636000000005</c:v>
                </c:pt>
                <c:pt idx="31" formatCode="0.00">
                  <c:v>-6.9657260000000001</c:v>
                </c:pt>
              </c:numCache>
            </c:numRef>
          </c:xVal>
          <c:yVal>
            <c:numRef>
              <c:f>Sheet4!$K$4:$K$35</c:f>
              <c:numCache>
                <c:formatCode>General</c:formatCode>
                <c:ptCount val="32"/>
                <c:pt idx="27" formatCode="0.00">
                  <c:v>-48.43545833333333</c:v>
                </c:pt>
                <c:pt idx="28" formatCode="0.00">
                  <c:v>-52.03572166666666</c:v>
                </c:pt>
                <c:pt idx="29" formatCode="0.00">
                  <c:v>-43.345039666666665</c:v>
                </c:pt>
                <c:pt idx="30" formatCode="0.00">
                  <c:v>-44.615642333333334</c:v>
                </c:pt>
                <c:pt idx="31" formatCode="0.00">
                  <c:v>-43.042403999999998</c:v>
                </c:pt>
              </c:numCache>
            </c:numRef>
          </c:yVal>
          <c:smooth val="0"/>
          <c:extLst>
            <c:ext xmlns:c16="http://schemas.microsoft.com/office/drawing/2014/chart" uri="{C3380CC4-5D6E-409C-BE32-E72D297353CC}">
              <c16:uniqueId val="{0000000A-C535-44FA-87FD-E3F66EDF18FC}"/>
            </c:ext>
          </c:extLst>
        </c:ser>
        <c:dLbls>
          <c:showLegendKey val="0"/>
          <c:showVal val="0"/>
          <c:showCatName val="0"/>
          <c:showSerName val="0"/>
          <c:showPercent val="0"/>
          <c:showBubbleSize val="0"/>
        </c:dLbls>
        <c:axId val="1297611887"/>
        <c:axId val="1297612719"/>
      </c:scatterChart>
      <c:valAx>
        <c:axId val="129761188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800" b="1" i="0" baseline="0">
                    <a:effectLst/>
                  </a:rPr>
                  <a:t>δ</a:t>
                </a:r>
                <a:r>
                  <a:rPr lang="el-GR" sz="1800" b="1" i="0" baseline="30000">
                    <a:effectLst/>
                  </a:rPr>
                  <a:t>18</a:t>
                </a:r>
                <a:r>
                  <a:rPr lang="en-US" sz="1800" b="1" i="0" baseline="0">
                    <a:effectLst/>
                  </a:rPr>
                  <a:t>O ‰ </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0.47404209733763686"/>
              <c:y val="0.78319383735581027"/>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612719"/>
        <c:crosses val="autoZero"/>
        <c:crossBetween val="midCat"/>
      </c:valAx>
      <c:valAx>
        <c:axId val="12976127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l-GR" sz="1800" b="1" i="0" baseline="0">
                    <a:effectLst/>
                  </a:rPr>
                  <a:t>δ</a:t>
                </a:r>
                <a:r>
                  <a:rPr lang="en-US" sz="1800" b="1" i="0" baseline="0">
                    <a:effectLst/>
                  </a:rPr>
                  <a:t>D ‰</a:t>
                </a:r>
                <a:r>
                  <a:rPr lang="en-US" sz="1800" b="0" i="0" baseline="0">
                    <a:effectLst/>
                  </a:rPr>
                  <a:t> </a:t>
                </a:r>
                <a:endParaRPr lang="en-US">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layout>
            <c:manualLayout>
              <c:xMode val="edge"/>
              <c:yMode val="edge"/>
              <c:x val="8.4957749493898171E-2"/>
              <c:y val="0.34582115117194262"/>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611887"/>
        <c:crosses val="autoZero"/>
        <c:crossBetween val="midCat"/>
      </c:valAx>
      <c:spPr>
        <a:no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0" i="0" baseline="0">
                <a:effectLst/>
              </a:rPr>
              <a:t>Precipitation: Cumberland Weather Station Annual Collection vs. Pipe Lake Residence Seasonal Collection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1"/>
          <c:order val="0"/>
          <c:tx>
            <c:strRef>
              <c:f>'PL Sum Analysis'!$C$6</c:f>
              <c:strCache>
                <c:ptCount val="1"/>
                <c:pt idx="0">
                  <c:v>Cumberland Precip (in)</c:v>
                </c:pt>
              </c:strCache>
            </c:strRef>
          </c:tx>
          <c:spPr>
            <a:solidFill>
              <a:schemeClr val="accent2"/>
            </a:solidFill>
            <a:ln>
              <a:noFill/>
            </a:ln>
            <a:effectLst/>
          </c:spPr>
          <c:invertIfNegative val="0"/>
          <c:cat>
            <c:numRef>
              <c:f>'PL Sum Analysis'!$B$7:$B$28</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'PL Sum Analysis'!$C$7:$C$28</c:f>
              <c:numCache>
                <c:formatCode>General</c:formatCode>
                <c:ptCount val="22"/>
                <c:pt idx="0">
                  <c:v>38.059999999999995</c:v>
                </c:pt>
                <c:pt idx="1">
                  <c:v>39.720000000000006</c:v>
                </c:pt>
                <c:pt idx="2">
                  <c:v>34.790000000000006</c:v>
                </c:pt>
                <c:pt idx="3">
                  <c:v>27.639999999999997</c:v>
                </c:pt>
                <c:pt idx="4">
                  <c:v>34.290000000000006</c:v>
                </c:pt>
                <c:pt idx="5">
                  <c:v>31.479999999999997</c:v>
                </c:pt>
                <c:pt idx="6">
                  <c:v>24.85</c:v>
                </c:pt>
                <c:pt idx="7">
                  <c:v>31.630000000000003</c:v>
                </c:pt>
                <c:pt idx="8">
                  <c:v>29.57</c:v>
                </c:pt>
                <c:pt idx="9">
                  <c:v>24.930000000000003</c:v>
                </c:pt>
                <c:pt idx="10">
                  <c:v>38.249999999999993</c:v>
                </c:pt>
                <c:pt idx="11">
                  <c:v>25.36</c:v>
                </c:pt>
                <c:pt idx="12">
                  <c:v>26.54</c:v>
                </c:pt>
                <c:pt idx="13">
                  <c:v>29.96</c:v>
                </c:pt>
                <c:pt idx="14">
                  <c:v>40.14</c:v>
                </c:pt>
                <c:pt idx="15">
                  <c:v>37.19</c:v>
                </c:pt>
                <c:pt idx="16">
                  <c:v>34.120000000000005</c:v>
                </c:pt>
                <c:pt idx="17">
                  <c:v>33.370000000000005</c:v>
                </c:pt>
                <c:pt idx="18">
                  <c:v>31.799999999999994</c:v>
                </c:pt>
                <c:pt idx="19">
                  <c:v>43.73</c:v>
                </c:pt>
                <c:pt idx="20">
                  <c:v>33.299999999999997</c:v>
                </c:pt>
                <c:pt idx="21">
                  <c:v>24.02</c:v>
                </c:pt>
              </c:numCache>
            </c:numRef>
          </c:val>
          <c:extLst>
            <c:ext xmlns:c16="http://schemas.microsoft.com/office/drawing/2014/chart" uri="{C3380CC4-5D6E-409C-BE32-E72D297353CC}">
              <c16:uniqueId val="{00000000-836C-40CA-A4C5-23CDBC7F6A83}"/>
            </c:ext>
          </c:extLst>
        </c:ser>
        <c:ser>
          <c:idx val="2"/>
          <c:order val="1"/>
          <c:tx>
            <c:strRef>
              <c:f>'PL Sum Analysis'!$D$6</c:f>
              <c:strCache>
                <c:ptCount val="1"/>
                <c:pt idx="0">
                  <c:v>Pipe Lake Precip (in)</c:v>
                </c:pt>
              </c:strCache>
            </c:strRef>
          </c:tx>
          <c:spPr>
            <a:solidFill>
              <a:schemeClr val="accent3"/>
            </a:solidFill>
            <a:ln>
              <a:noFill/>
            </a:ln>
            <a:effectLst/>
          </c:spPr>
          <c:invertIfNegative val="0"/>
          <c:cat>
            <c:numRef>
              <c:f>'PL Sum Analysis'!$B$7:$B$28</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cat>
          <c:val>
            <c:numRef>
              <c:f>'PL Sum Analysis'!$D$31:$D$52</c:f>
              <c:numCache>
                <c:formatCode>General</c:formatCode>
                <c:ptCount val="22"/>
                <c:pt idx="0">
                  <c:v>10.030000000000003</c:v>
                </c:pt>
                <c:pt idx="1">
                  <c:v>15.670000000000002</c:v>
                </c:pt>
                <c:pt idx="2">
                  <c:v>24.350000000000005</c:v>
                </c:pt>
                <c:pt idx="4">
                  <c:v>18.600000000000001</c:v>
                </c:pt>
                <c:pt idx="5">
                  <c:v>14.049999999999997</c:v>
                </c:pt>
                <c:pt idx="6">
                  <c:v>10.150000000000002</c:v>
                </c:pt>
                <c:pt idx="7">
                  <c:v>18.639999999999997</c:v>
                </c:pt>
                <c:pt idx="8">
                  <c:v>11.35</c:v>
                </c:pt>
                <c:pt idx="9">
                  <c:v>11.23</c:v>
                </c:pt>
                <c:pt idx="10">
                  <c:v>26.300000000000004</c:v>
                </c:pt>
                <c:pt idx="11">
                  <c:v>17.349999999999998</c:v>
                </c:pt>
                <c:pt idx="14">
                  <c:v>21.45</c:v>
                </c:pt>
                <c:pt idx="15">
                  <c:v>20.789000000000009</c:v>
                </c:pt>
                <c:pt idx="16">
                  <c:v>18.650000000000002</c:v>
                </c:pt>
                <c:pt idx="17">
                  <c:v>13.089999999999996</c:v>
                </c:pt>
                <c:pt idx="18">
                  <c:v>17.549999999999997</c:v>
                </c:pt>
                <c:pt idx="19">
                  <c:v>16.269999999999996</c:v>
                </c:pt>
                <c:pt idx="20">
                  <c:v>6.35</c:v>
                </c:pt>
                <c:pt idx="21">
                  <c:v>9.879999999999999</c:v>
                </c:pt>
              </c:numCache>
            </c:numRef>
          </c:val>
          <c:extLst>
            <c:ext xmlns:c16="http://schemas.microsoft.com/office/drawing/2014/chart" uri="{C3380CC4-5D6E-409C-BE32-E72D297353CC}">
              <c16:uniqueId val="{00000001-836C-40CA-A4C5-23CDBC7F6A83}"/>
            </c:ext>
          </c:extLst>
        </c:ser>
        <c:dLbls>
          <c:showLegendKey val="0"/>
          <c:showVal val="0"/>
          <c:showCatName val="0"/>
          <c:showSerName val="0"/>
          <c:showPercent val="0"/>
          <c:showBubbleSize val="0"/>
        </c:dLbls>
        <c:gapWidth val="219"/>
        <c:overlap val="-27"/>
        <c:axId val="2147444992"/>
        <c:axId val="2147453312"/>
      </c:barChart>
      <c:catAx>
        <c:axId val="21474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2147453312"/>
        <c:crosses val="autoZero"/>
        <c:auto val="1"/>
        <c:lblAlgn val="ctr"/>
        <c:lblOffset val="100"/>
        <c:noMultiLvlLbl val="0"/>
      </c:catAx>
      <c:valAx>
        <c:axId val="214745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n-US"/>
                  <a:t>Annual Precipitation (in)</a:t>
                </a:r>
              </a:p>
            </c:rich>
          </c:tx>
          <c:layout>
            <c:manualLayout>
              <c:xMode val="edge"/>
              <c:yMode val="edge"/>
              <c:x val="2.6960784313725492E-2"/>
              <c:y val="0.19717592592592598"/>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214744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0" i="0" baseline="0">
                <a:effectLst/>
              </a:rPr>
              <a:t>Average Secchi Depth: June - August</a:t>
            </a:r>
            <a:endParaRPr lang="en-US"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3"/>
          <c:order val="1"/>
          <c:tx>
            <c:v>Pipe Lake Secchi Depth</c:v>
          </c:tx>
          <c:spPr>
            <a:solidFill>
              <a:schemeClr val="accent2"/>
            </a:solidFill>
            <a:ln>
              <a:solidFill>
                <a:schemeClr val="accent2"/>
              </a:solidFill>
            </a:ln>
            <a:effectLst/>
          </c:spPr>
          <c:invertIfNegative val="0"/>
          <c:dLbls>
            <c:delete val="1"/>
          </c:dLbls>
          <c:trendline>
            <c:spPr>
              <a:ln w="19050" cap="rnd">
                <a:solidFill>
                  <a:schemeClr val="accent2"/>
                </a:solidFill>
                <a:prstDash val="sysDot"/>
              </a:ln>
              <a:effectLst/>
            </c:spPr>
            <c:trendlineType val="linear"/>
            <c:dispRSqr val="1"/>
            <c:dispEq val="1"/>
            <c:trendlineLbl>
              <c:layout>
                <c:manualLayout>
                  <c:x val="4.2204516060885877E-2"/>
                  <c:y val="0.39176416464529118"/>
                </c:manualLayout>
              </c:layout>
              <c:tx>
                <c:rich>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r>
                      <a:rPr lang="en-US" baseline="0">
                        <a:solidFill>
                          <a:schemeClr val="accent2"/>
                        </a:solidFill>
                      </a:rPr>
                      <a:t>y = -0.4639x + 16.757</a:t>
                    </a:r>
                    <a:br>
                      <a:rPr lang="en-US" baseline="0">
                        <a:solidFill>
                          <a:schemeClr val="accent2"/>
                        </a:solidFill>
                      </a:rPr>
                    </a:br>
                    <a:r>
                      <a:rPr lang="en-US" baseline="0">
                        <a:solidFill>
                          <a:schemeClr val="accent2"/>
                        </a:solidFill>
                      </a:rPr>
                      <a:t>R² = 0.4206</a:t>
                    </a:r>
                    <a:endParaRPr lang="en-US">
                      <a:solidFill>
                        <a:schemeClr val="accent2"/>
                      </a:solidFill>
                    </a:endParaRPr>
                  </a:p>
                </c:rich>
              </c:tx>
              <c:numFmt formatCode="General" sourceLinked="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trendlineLbl>
          </c:trendline>
          <c:cat>
            <c:numRef>
              <c:f>'NP Sum Analysis'!$U$4:$U$26</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numCache>
            </c:numRef>
          </c:cat>
          <c:val>
            <c:numRef>
              <c:f>'PL Sum Analysis'!$AG$5:$AG$27</c:f>
              <c:numCache>
                <c:formatCode>0.0</c:formatCode>
                <c:ptCount val="23"/>
                <c:pt idx="0">
                  <c:v>15.666666666666666</c:v>
                </c:pt>
                <c:pt idx="1">
                  <c:v>15.055555555555555</c:v>
                </c:pt>
                <c:pt idx="2">
                  <c:v>14.5</c:v>
                </c:pt>
                <c:pt idx="3">
                  <c:v>16.75</c:v>
                </c:pt>
                <c:pt idx="4">
                  <c:v>13.6875</c:v>
                </c:pt>
                <c:pt idx="5">
                  <c:v>13.678571428571429</c:v>
                </c:pt>
                <c:pt idx="6">
                  <c:v>14.15625</c:v>
                </c:pt>
                <c:pt idx="7">
                  <c:v>19.84375</c:v>
                </c:pt>
                <c:pt idx="8">
                  <c:v>17.277777777777779</c:v>
                </c:pt>
                <c:pt idx="9">
                  <c:v>16.722222222222221</c:v>
                </c:pt>
                <c:pt idx="10">
                  <c:v>15.25</c:v>
                </c:pt>
                <c:pt idx="11">
                  <c:v>18.083333333333332</c:v>
                </c:pt>
                <c:pt idx="12">
                  <c:v>15.571428571428571</c:v>
                </c:pt>
                <c:pt idx="13">
                  <c:v>18.5</c:v>
                </c:pt>
                <c:pt idx="14">
                  <c:v>13.5</c:v>
                </c:pt>
                <c:pt idx="15">
                  <c:v>12.67</c:v>
                </c:pt>
                <c:pt idx="16">
                  <c:v>14.666666666666666</c:v>
                </c:pt>
                <c:pt idx="17">
                  <c:v>13.944444444444445</c:v>
                </c:pt>
                <c:pt idx="18">
                  <c:v>14.333333333333334</c:v>
                </c:pt>
                <c:pt idx="19">
                  <c:v>14</c:v>
                </c:pt>
                <c:pt idx="20">
                  <c:v>10.85</c:v>
                </c:pt>
                <c:pt idx="21">
                  <c:v>11.09375</c:v>
                </c:pt>
                <c:pt idx="22">
                  <c:v>13.375</c:v>
                </c:pt>
              </c:numCache>
            </c:numRef>
          </c:val>
          <c:extLst>
            <c:ext xmlns:c16="http://schemas.microsoft.com/office/drawing/2014/chart" uri="{C3380CC4-5D6E-409C-BE32-E72D297353CC}">
              <c16:uniqueId val="{00000018-91A1-484E-8997-9244A376A224}"/>
            </c:ext>
          </c:extLst>
        </c:ser>
        <c:ser>
          <c:idx val="0"/>
          <c:order val="2"/>
          <c:tx>
            <c:v>North Pipe Lake Secchi Depth</c:v>
          </c:tx>
          <c:spPr>
            <a:solidFill>
              <a:schemeClr val="accent1"/>
            </a:solidFill>
            <a:ln>
              <a:noFill/>
            </a:ln>
            <a:effectLst/>
          </c:spPr>
          <c:invertIfNegative val="0"/>
          <c:dLbls>
            <c:delete val="1"/>
          </c:dLbls>
          <c:trendline>
            <c:spPr>
              <a:ln w="19050" cap="rnd">
                <a:solidFill>
                  <a:schemeClr val="accent1"/>
                </a:solidFill>
                <a:prstDash val="sysDot"/>
              </a:ln>
              <a:effectLst/>
            </c:spPr>
            <c:trendlineType val="linear"/>
            <c:dispRSqr val="1"/>
            <c:dispEq val="1"/>
            <c:trendlineLbl>
              <c:layout>
                <c:manualLayout>
                  <c:x val="2.0972811090921327E-2"/>
                  <c:y val="0.43007869958022832"/>
                </c:manualLayout>
              </c:layout>
              <c:tx>
                <c:rich>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r>
                      <a:rPr lang="en-US" baseline="0">
                        <a:solidFill>
                          <a:schemeClr val="accent1"/>
                        </a:solidFill>
                      </a:rPr>
                      <a:t>y = -0.2124x + 6.776</a:t>
                    </a:r>
                    <a:br>
                      <a:rPr lang="en-US" baseline="0">
                        <a:solidFill>
                          <a:schemeClr val="accent1"/>
                        </a:solidFill>
                      </a:rPr>
                    </a:br>
                    <a:r>
                      <a:rPr lang="en-US" baseline="0">
                        <a:solidFill>
                          <a:schemeClr val="accent1"/>
                        </a:solidFill>
                      </a:rPr>
                      <a:t>R² = 0.2289</a:t>
                    </a:r>
                    <a:endParaRPr lang="en-US">
                      <a:solidFill>
                        <a:schemeClr val="accent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trendlineLbl>
          </c:trendline>
          <c:cat>
            <c:numRef>
              <c:f>'NP Sum Analysis'!$U$4:$U$26</c:f>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numCache>
            </c:numRef>
          </c:cat>
          <c:val>
            <c:numRef>
              <c:f>'NP Sum Analysis'!$V$4:$V$26</c:f>
              <c:numCache>
                <c:formatCode>0.0</c:formatCode>
                <c:ptCount val="23"/>
                <c:pt idx="0">
                  <c:v>8.3333333333333339</c:v>
                </c:pt>
                <c:pt idx="1">
                  <c:v>6.5</c:v>
                </c:pt>
                <c:pt idx="2">
                  <c:v>5.083333333333333</c:v>
                </c:pt>
                <c:pt idx="3">
                  <c:v>8.28125</c:v>
                </c:pt>
                <c:pt idx="4">
                  <c:v>4.7222222222222223</c:v>
                </c:pt>
                <c:pt idx="5">
                  <c:v>4.958333333333333</c:v>
                </c:pt>
                <c:pt idx="6">
                  <c:v>5.90625</c:v>
                </c:pt>
                <c:pt idx="7">
                  <c:v>10.53125</c:v>
                </c:pt>
                <c:pt idx="8">
                  <c:v>10.071428571428571</c:v>
                </c:pt>
                <c:pt idx="9">
                  <c:v>4.6887499999999998</c:v>
                </c:pt>
                <c:pt idx="10">
                  <c:v>6.916666666666667</c:v>
                </c:pt>
                <c:pt idx="11">
                  <c:v>4.3916666666666666</c:v>
                </c:pt>
                <c:pt idx="12">
                  <c:v>6.3125</c:v>
                </c:pt>
                <c:pt idx="13">
                  <c:v>4.708333333333333</c:v>
                </c:pt>
                <c:pt idx="14">
                  <c:v>9.0500000000000007</c:v>
                </c:pt>
                <c:pt idx="15">
                  <c:v>3.1</c:v>
                </c:pt>
                <c:pt idx="16">
                  <c:v>5.3055555555555554</c:v>
                </c:pt>
                <c:pt idx="17">
                  <c:v>5.791666666666667</c:v>
                </c:pt>
                <c:pt idx="18">
                  <c:v>6.75</c:v>
                </c:pt>
                <c:pt idx="19">
                  <c:v>4.5</c:v>
                </c:pt>
                <c:pt idx="20">
                  <c:v>6.7374999999999998</c:v>
                </c:pt>
                <c:pt idx="21">
                  <c:v>3.1666666666666665</c:v>
                </c:pt>
                <c:pt idx="22">
                  <c:v>3.25</c:v>
                </c:pt>
              </c:numCache>
            </c:numRef>
          </c:val>
          <c:extLst>
            <c:ext xmlns:c16="http://schemas.microsoft.com/office/drawing/2014/chart" uri="{C3380CC4-5D6E-409C-BE32-E72D297353CC}">
              <c16:uniqueId val="{00000031-91A1-484E-8997-9244A376A224}"/>
            </c:ext>
          </c:extLst>
        </c:ser>
        <c:dLbls>
          <c:dLblPos val="outEnd"/>
          <c:showLegendKey val="0"/>
          <c:showVal val="1"/>
          <c:showCatName val="0"/>
          <c:showSerName val="0"/>
          <c:showPercent val="0"/>
          <c:showBubbleSize val="0"/>
        </c:dLbls>
        <c:gapWidth val="167"/>
        <c:axId val="761509968"/>
        <c:axId val="761511632"/>
        <c:extLst>
          <c:ext xmlns:c15="http://schemas.microsoft.com/office/drawing/2012/chart" uri="{02D57815-91ED-43cb-92C2-25804820EDAC}">
            <c15:filteredBarSeries>
              <c15:ser>
                <c:idx val="1"/>
                <c:order val="0"/>
                <c:tx>
                  <c:v>Precipitation (Cumberland)</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dispRSqr val="0"/>
                  <c:dispEq val="0"/>
                </c:trendline>
                <c:cat>
                  <c:numRef>
                    <c:extLst>
                      <c:ext uri="{02D57815-91ED-43cb-92C2-25804820EDAC}">
                        <c15:formulaRef>
                          <c15:sqref>'NP Sum Analysis'!$U$4:$U$26</c15:sqref>
                        </c15:formulaRef>
                      </c:ext>
                    </c:extLst>
                    <c:numCache>
                      <c:formatCode>General</c:formatCode>
                      <c:ptCount val="23"/>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pt idx="19">
                        <c:v>2018</c:v>
                      </c:pt>
                      <c:pt idx="20">
                        <c:v>2019</c:v>
                      </c:pt>
                      <c:pt idx="21">
                        <c:v>2020</c:v>
                      </c:pt>
                      <c:pt idx="22">
                        <c:v>2021</c:v>
                      </c:pt>
                    </c:numCache>
                  </c:numRef>
                </c:cat>
                <c:val>
                  <c:numRef>
                    <c:extLst>
                      <c:ext uri="{02D57815-91ED-43cb-92C2-25804820EDAC}">
                        <c15:formulaRef>
                          <c15:sqref>'PL and  NP Analysis'!$B$29:$B$39</c15:sqref>
                        </c15:formulaRef>
                      </c:ext>
                    </c:extLst>
                    <c:numCache>
                      <c:formatCode>General</c:formatCode>
                      <c:ptCount val="11"/>
                      <c:pt idx="0">
                        <c:v>25.36</c:v>
                      </c:pt>
                      <c:pt idx="1">
                        <c:v>26.54</c:v>
                      </c:pt>
                      <c:pt idx="2">
                        <c:v>29.96</c:v>
                      </c:pt>
                      <c:pt idx="3">
                        <c:v>40.14</c:v>
                      </c:pt>
                      <c:pt idx="4">
                        <c:v>37.19</c:v>
                      </c:pt>
                      <c:pt idx="5">
                        <c:v>34.120000000000005</c:v>
                      </c:pt>
                      <c:pt idx="6">
                        <c:v>33.370000000000005</c:v>
                      </c:pt>
                      <c:pt idx="7">
                        <c:v>31.799999999999994</c:v>
                      </c:pt>
                      <c:pt idx="8">
                        <c:v>43.73</c:v>
                      </c:pt>
                      <c:pt idx="9">
                        <c:v>33.299999999999997</c:v>
                      </c:pt>
                      <c:pt idx="10">
                        <c:v>24.02</c:v>
                      </c:pt>
                    </c:numCache>
                  </c:numRef>
                </c:val>
                <c:extLst>
                  <c:ext xmlns:c16="http://schemas.microsoft.com/office/drawing/2014/chart" uri="{C3380CC4-5D6E-409C-BE32-E72D297353CC}">
                    <c16:uniqueId val="{00000033-91A1-484E-8997-9244A376A224}"/>
                  </c:ext>
                </c:extLst>
              </c15:ser>
            </c15:filteredBarSeries>
          </c:ext>
        </c:extLst>
      </c:barChart>
      <c:catAx>
        <c:axId val="761509968"/>
        <c:scaling>
          <c:orientation val="minMax"/>
        </c:scaling>
        <c:delete val="0"/>
        <c:axPos val="t"/>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solidFill>
                <a:latin typeface="+mn-lt"/>
                <a:ea typeface="+mn-ea"/>
                <a:cs typeface="+mn-cs"/>
              </a:defRPr>
            </a:pPr>
            <a:endParaRPr lang="en-US"/>
          </a:p>
        </c:txPr>
        <c:crossAx val="761511632"/>
        <c:crosses val="autoZero"/>
        <c:auto val="1"/>
        <c:lblAlgn val="ctr"/>
        <c:lblOffset val="100"/>
        <c:noMultiLvlLbl val="0"/>
      </c:catAx>
      <c:valAx>
        <c:axId val="761511632"/>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Secchi Depth (ft)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61509968"/>
        <c:crosses val="autoZero"/>
        <c:crossBetween val="between"/>
      </c:valAx>
      <c:spPr>
        <a:noFill/>
        <a:ln>
          <a:noFill/>
        </a:ln>
        <a:effectLst/>
      </c:spPr>
    </c:plotArea>
    <c:legend>
      <c:legendPos val="b"/>
      <c:layout>
        <c:manualLayout>
          <c:xMode val="edge"/>
          <c:yMode val="edge"/>
          <c:x val="2.7624503667810753E-2"/>
          <c:y val="0.7936200386701211"/>
          <c:w val="0.76640218049666864"/>
          <c:h val="0.158790574437688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Pipe and North Pipe Lake chlorophyll a, 2015-2021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smoothMarker"/>
        <c:varyColors val="0"/>
        <c:ser>
          <c:idx val="1"/>
          <c:order val="0"/>
          <c:tx>
            <c:v>North Pipe Lake </c:v>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1"/>
            <c:trendlineLbl>
              <c:layout>
                <c:manualLayout>
                  <c:x val="4.9672744273024781E-2"/>
                  <c:y val="5.505030621172353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'North Pipe Lake Analysis'!$BZ$26:$BZ$32</c:f>
              <c:numCache>
                <c:formatCode>General</c:formatCode>
                <c:ptCount val="7"/>
                <c:pt idx="0">
                  <c:v>2015</c:v>
                </c:pt>
                <c:pt idx="1">
                  <c:v>2016</c:v>
                </c:pt>
                <c:pt idx="2">
                  <c:v>2017</c:v>
                </c:pt>
                <c:pt idx="3">
                  <c:v>2018</c:v>
                </c:pt>
                <c:pt idx="4">
                  <c:v>2019</c:v>
                </c:pt>
                <c:pt idx="5">
                  <c:v>2020</c:v>
                </c:pt>
                <c:pt idx="6">
                  <c:v>2021</c:v>
                </c:pt>
              </c:numCache>
            </c:numRef>
          </c:xVal>
          <c:yVal>
            <c:numRef>
              <c:f>'North Pipe Lake Analysis'!$CA$26:$CA$32</c:f>
              <c:numCache>
                <c:formatCode>General</c:formatCode>
                <c:ptCount val="7"/>
                <c:pt idx="0">
                  <c:v>24.466666666666669</c:v>
                </c:pt>
                <c:pt idx="1">
                  <c:v>13.43</c:v>
                </c:pt>
                <c:pt idx="2">
                  <c:v>15.355</c:v>
                </c:pt>
                <c:pt idx="3">
                  <c:v>23.966666666666669</c:v>
                </c:pt>
                <c:pt idx="4">
                  <c:v>14.2</c:v>
                </c:pt>
                <c:pt idx="5">
                  <c:v>31.633333333333336</c:v>
                </c:pt>
                <c:pt idx="6">
                  <c:v>39.4</c:v>
                </c:pt>
              </c:numCache>
            </c:numRef>
          </c:yVal>
          <c:smooth val="1"/>
          <c:extLst>
            <c:ext xmlns:c16="http://schemas.microsoft.com/office/drawing/2014/chart" uri="{C3380CC4-5D6E-409C-BE32-E72D297353CC}">
              <c16:uniqueId val="{00000001-7CEA-4743-8F5D-95F19CC9EDA6}"/>
            </c:ext>
          </c:extLst>
        </c:ser>
        <c:ser>
          <c:idx val="0"/>
          <c:order val="1"/>
          <c:tx>
            <c:v>Pipe Lake</c:v>
          </c:tx>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6.0331930808789153E-2"/>
                  <c:y val="-4.055993000874890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rendlineLbl>
          </c:trendline>
          <c:xVal>
            <c:numRef>
              <c:f>'Pipe Lake Analysis'!$CV$24:$CV$30</c:f>
              <c:numCache>
                <c:formatCode>General</c:formatCode>
                <c:ptCount val="7"/>
                <c:pt idx="0">
                  <c:v>2015</c:v>
                </c:pt>
                <c:pt idx="1">
                  <c:v>2016</c:v>
                </c:pt>
                <c:pt idx="2">
                  <c:v>2017</c:v>
                </c:pt>
                <c:pt idx="3">
                  <c:v>2018</c:v>
                </c:pt>
                <c:pt idx="4">
                  <c:v>2019</c:v>
                </c:pt>
                <c:pt idx="5">
                  <c:v>2020</c:v>
                </c:pt>
                <c:pt idx="6">
                  <c:v>2021</c:v>
                </c:pt>
              </c:numCache>
            </c:numRef>
          </c:xVal>
          <c:yVal>
            <c:numRef>
              <c:f>'Pipe Lake Analysis'!$CV$54:$CV$60</c:f>
              <c:numCache>
                <c:formatCode>0.0</c:formatCode>
                <c:ptCount val="7"/>
                <c:pt idx="0">
                  <c:v>3.3366666666666664</c:v>
                </c:pt>
                <c:pt idx="1">
                  <c:v>2.3400000000000003</c:v>
                </c:pt>
                <c:pt idx="2">
                  <c:v>3.4899999999999998</c:v>
                </c:pt>
                <c:pt idx="3">
                  <c:v>3.0100000000000002</c:v>
                </c:pt>
                <c:pt idx="4">
                  <c:v>8.3949999999999996</c:v>
                </c:pt>
                <c:pt idx="5">
                  <c:v>6.580000000000001</c:v>
                </c:pt>
                <c:pt idx="6">
                  <c:v>2.6533333333333333</c:v>
                </c:pt>
              </c:numCache>
            </c:numRef>
          </c:yVal>
          <c:smooth val="1"/>
          <c:extLst>
            <c:ext xmlns:c16="http://schemas.microsoft.com/office/drawing/2014/chart" uri="{C3380CC4-5D6E-409C-BE32-E72D297353CC}">
              <c16:uniqueId val="{00000000-7CEA-4743-8F5D-95F19CC9EDA6}"/>
            </c:ext>
          </c:extLst>
        </c:ser>
        <c:dLbls>
          <c:showLegendKey val="0"/>
          <c:showVal val="0"/>
          <c:showCatName val="0"/>
          <c:showSerName val="0"/>
          <c:showPercent val="0"/>
          <c:showBubbleSize val="0"/>
        </c:dLbls>
        <c:axId val="1461364176"/>
        <c:axId val="1461384560"/>
      </c:scatterChart>
      <c:valAx>
        <c:axId val="1461364176"/>
        <c:scaling>
          <c:orientation val="minMax"/>
          <c:max val="2021"/>
          <c:min val="2015"/>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61384560"/>
        <c:crosses val="autoZero"/>
        <c:crossBetween val="midCat"/>
      </c:valAx>
      <c:valAx>
        <c:axId val="1461384560"/>
        <c:scaling>
          <c:orientation val="minMax"/>
          <c:max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Chlorophyll a </a:t>
                </a:r>
                <a:r>
                  <a:rPr lang="en-US" sz="1000" b="0" i="0" u="none" strike="noStrike" baseline="0">
                    <a:effectLst/>
                  </a:rPr>
                  <a:t>Level (µg/l)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61364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Pipe and North Pipe Lake Chlorophyll a, 2000-2021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smoothMarker"/>
        <c:varyColors val="0"/>
        <c:ser>
          <c:idx val="0"/>
          <c:order val="0"/>
          <c:tx>
            <c:v>Pipe Lake</c:v>
          </c:tx>
          <c:spPr>
            <a:ln w="28575" cap="rnd">
              <a:solidFill>
                <a:schemeClr val="accent1"/>
              </a:solidFill>
              <a:round/>
            </a:ln>
            <a:effectLst/>
          </c:spPr>
          <c:marker>
            <c:symbol val="circle"/>
            <c:size val="5"/>
            <c:spPr>
              <a:solidFill>
                <a:schemeClr val="accent1"/>
              </a:solidFill>
              <a:ln w="9525">
                <a:solidFill>
                  <a:schemeClr val="accent1"/>
                </a:solidFill>
              </a:ln>
              <a:effectLst/>
            </c:spPr>
          </c:marker>
          <c:xVal>
            <c:numRef>
              <c:f>'NP Sum Analysis'!$DG$6:$DG$27</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'NP Sum Analysis'!$DI$6:$DI$27</c:f>
              <c:numCache>
                <c:formatCode>0.00</c:formatCode>
                <c:ptCount val="22"/>
                <c:pt idx="0">
                  <c:v>3.4750000000000001</c:v>
                </c:pt>
                <c:pt idx="1">
                  <c:v>3.6</c:v>
                </c:pt>
                <c:pt idx="2">
                  <c:v>3.84</c:v>
                </c:pt>
                <c:pt idx="3">
                  <c:v>4.6849999999999996</c:v>
                </c:pt>
                <c:pt idx="4">
                  <c:v>3.7925</c:v>
                </c:pt>
                <c:pt idx="5">
                  <c:v>3.39</c:v>
                </c:pt>
                <c:pt idx="6">
                  <c:v>2.3199999999999998</c:v>
                </c:pt>
                <c:pt idx="7">
                  <c:v>4.1366666666666667</c:v>
                </c:pt>
                <c:pt idx="8">
                  <c:v>1.33</c:v>
                </c:pt>
                <c:pt idx="9">
                  <c:v>2.69</c:v>
                </c:pt>
                <c:pt idx="10">
                  <c:v>2.4933333333333336</c:v>
                </c:pt>
                <c:pt idx="11">
                  <c:v>5.78</c:v>
                </c:pt>
                <c:pt idx="12">
                  <c:v>2.3766666666666665</c:v>
                </c:pt>
                <c:pt idx="13">
                  <c:v>3.5033333333333334</c:v>
                </c:pt>
                <c:pt idx="14">
                  <c:v>4.4099999999999993</c:v>
                </c:pt>
                <c:pt idx="15">
                  <c:v>3.3366666666666664</c:v>
                </c:pt>
                <c:pt idx="16">
                  <c:v>2.3400000000000003</c:v>
                </c:pt>
                <c:pt idx="17">
                  <c:v>3.49</c:v>
                </c:pt>
                <c:pt idx="18">
                  <c:v>3.0100000000000002</c:v>
                </c:pt>
                <c:pt idx="19">
                  <c:v>8.3949999999999996</c:v>
                </c:pt>
                <c:pt idx="20">
                  <c:v>6.580000000000001</c:v>
                </c:pt>
                <c:pt idx="21">
                  <c:v>1.645</c:v>
                </c:pt>
              </c:numCache>
            </c:numRef>
          </c:yVal>
          <c:smooth val="1"/>
          <c:extLst>
            <c:ext xmlns:c16="http://schemas.microsoft.com/office/drawing/2014/chart" uri="{C3380CC4-5D6E-409C-BE32-E72D297353CC}">
              <c16:uniqueId val="{00000000-B763-4AC1-A8DC-AE7E9DADD8EF}"/>
            </c:ext>
          </c:extLst>
        </c:ser>
        <c:ser>
          <c:idx val="1"/>
          <c:order val="1"/>
          <c:tx>
            <c:v>North Pipe Lake </c:v>
          </c:tx>
          <c:spPr>
            <a:ln w="28575" cap="rnd">
              <a:solidFill>
                <a:schemeClr val="accent2"/>
              </a:solidFill>
              <a:round/>
            </a:ln>
            <a:effectLst/>
          </c:spPr>
          <c:marker>
            <c:symbol val="circle"/>
            <c:size val="5"/>
            <c:spPr>
              <a:solidFill>
                <a:schemeClr val="accent2"/>
              </a:solidFill>
              <a:ln w="9525">
                <a:solidFill>
                  <a:schemeClr val="accent2"/>
                </a:solidFill>
              </a:ln>
              <a:effectLst/>
            </c:spPr>
          </c:marker>
          <c:xVal>
            <c:numRef>
              <c:f>'NP Sum Analysis'!$DG$6:$DG$27</c:f>
              <c:numCache>
                <c:formatCode>General</c:formatCod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numCache>
            </c:numRef>
          </c:xVal>
          <c:yVal>
            <c:numRef>
              <c:f>'NP Sum Analysis'!$DH$6:$DH$27</c:f>
              <c:numCache>
                <c:formatCode>General</c:formatCode>
                <c:ptCount val="22"/>
                <c:pt idx="0">
                  <c:v>18</c:v>
                </c:pt>
                <c:pt idx="1">
                  <c:v>36</c:v>
                </c:pt>
                <c:pt idx="2">
                  <c:v>8.6333333333333346</c:v>
                </c:pt>
                <c:pt idx="3">
                  <c:v>35.066666666666663</c:v>
                </c:pt>
                <c:pt idx="4">
                  <c:v>24.173333333333332</c:v>
                </c:pt>
                <c:pt idx="5">
                  <c:v>18.033333333333331</c:v>
                </c:pt>
                <c:pt idx="6">
                  <c:v>6.583333333333333</c:v>
                </c:pt>
                <c:pt idx="7">
                  <c:v>9.0900000000000016</c:v>
                </c:pt>
                <c:pt idx="8">
                  <c:v>23.3</c:v>
                </c:pt>
                <c:pt idx="9">
                  <c:v>19.296666666666667</c:v>
                </c:pt>
                <c:pt idx="10">
                  <c:v>27.166666666666668</c:v>
                </c:pt>
                <c:pt idx="11">
                  <c:v>12</c:v>
                </c:pt>
                <c:pt idx="12">
                  <c:v>32.133333333333333</c:v>
                </c:pt>
                <c:pt idx="13">
                  <c:v>6.6150000000000002</c:v>
                </c:pt>
                <c:pt idx="14">
                  <c:v>32.1</c:v>
                </c:pt>
                <c:pt idx="15">
                  <c:v>24.466666666666669</c:v>
                </c:pt>
                <c:pt idx="16">
                  <c:v>13.43</c:v>
                </c:pt>
                <c:pt idx="17">
                  <c:v>15.355</c:v>
                </c:pt>
                <c:pt idx="18">
                  <c:v>23.966666666666669</c:v>
                </c:pt>
                <c:pt idx="19">
                  <c:v>14.2</c:v>
                </c:pt>
                <c:pt idx="20">
                  <c:v>31.633333333333336</c:v>
                </c:pt>
                <c:pt idx="21">
                  <c:v>44.166666666666664</c:v>
                </c:pt>
              </c:numCache>
            </c:numRef>
          </c:yVal>
          <c:smooth val="1"/>
          <c:extLst>
            <c:ext xmlns:c16="http://schemas.microsoft.com/office/drawing/2014/chart" uri="{C3380CC4-5D6E-409C-BE32-E72D297353CC}">
              <c16:uniqueId val="{00000001-B763-4AC1-A8DC-AE7E9DADD8EF}"/>
            </c:ext>
          </c:extLst>
        </c:ser>
        <c:dLbls>
          <c:showLegendKey val="0"/>
          <c:showVal val="0"/>
          <c:showCatName val="0"/>
          <c:showSerName val="0"/>
          <c:showPercent val="0"/>
          <c:showBubbleSize val="0"/>
        </c:dLbls>
        <c:axId val="1461364176"/>
        <c:axId val="1461384560"/>
      </c:scatterChart>
      <c:valAx>
        <c:axId val="1461364176"/>
        <c:scaling>
          <c:orientation val="minMax"/>
          <c:max val="2021"/>
          <c:min val="2000"/>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61384560"/>
        <c:crosses val="autoZero"/>
        <c:crossBetween val="midCat"/>
        <c:majorUnit val="1"/>
      </c:valAx>
      <c:valAx>
        <c:axId val="1461384560"/>
        <c:scaling>
          <c:orientation val="minMax"/>
          <c:max val="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Chlorophyll a </a:t>
                </a:r>
                <a:r>
                  <a:rPr lang="en-US" sz="1000" b="0" i="0" u="none" strike="noStrike" baseline="0">
                    <a:effectLst/>
                  </a:rPr>
                  <a:t>Level (µg/l)</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61364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a:t>Surface</a:t>
            </a:r>
            <a:r>
              <a:rPr lang="en-US" sz="1400" baseline="0"/>
              <a:t> </a:t>
            </a:r>
            <a:r>
              <a:rPr lang="en-US" sz="1400"/>
              <a:t>Total Phosphorus for Pipe and North Pipe Lakes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3"/>
          <c:order val="0"/>
          <c:tx>
            <c:v>Pipe Lake </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'Pipe Lake Analysis'!$BT$25:$BT$31</c:f>
              <c:numCache>
                <c:formatCode>General</c:formatCode>
                <c:ptCount val="7"/>
                <c:pt idx="0">
                  <c:v>2015</c:v>
                </c:pt>
                <c:pt idx="1">
                  <c:v>2016</c:v>
                </c:pt>
                <c:pt idx="2">
                  <c:v>2017</c:v>
                </c:pt>
                <c:pt idx="3">
                  <c:v>2018</c:v>
                </c:pt>
                <c:pt idx="4">
                  <c:v>2019</c:v>
                </c:pt>
                <c:pt idx="5">
                  <c:v>2020</c:v>
                </c:pt>
                <c:pt idx="6">
                  <c:v>2021</c:v>
                </c:pt>
              </c:numCache>
            </c:numRef>
          </c:cat>
          <c:val>
            <c:numRef>
              <c:f>'Pipe Lake Analysis'!$BU$25:$BU$31</c:f>
              <c:numCache>
                <c:formatCode>0.0</c:formatCode>
                <c:ptCount val="7"/>
                <c:pt idx="0">
                  <c:v>10.733333333333334</c:v>
                </c:pt>
                <c:pt idx="1">
                  <c:v>13.580000000000002</c:v>
                </c:pt>
                <c:pt idx="2">
                  <c:v>12.766666666666666</c:v>
                </c:pt>
                <c:pt idx="3">
                  <c:v>12.74</c:v>
                </c:pt>
                <c:pt idx="4">
                  <c:v>14.539999999999997</c:v>
                </c:pt>
                <c:pt idx="5">
                  <c:v>17.75</c:v>
                </c:pt>
                <c:pt idx="6">
                  <c:v>14.580000000000002</c:v>
                </c:pt>
              </c:numCache>
            </c:numRef>
          </c:val>
          <c:smooth val="0"/>
          <c:extLst>
            <c:ext xmlns:c16="http://schemas.microsoft.com/office/drawing/2014/chart" uri="{C3380CC4-5D6E-409C-BE32-E72D297353CC}">
              <c16:uniqueId val="{00000000-760D-44A4-87C6-171E8F0D078B}"/>
            </c:ext>
          </c:extLst>
        </c:ser>
        <c:ser>
          <c:idx val="4"/>
          <c:order val="1"/>
          <c:tx>
            <c:v>North Pipe Lake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'Pipe Lake Analysis'!$BT$25:$BT$31</c:f>
              <c:numCache>
                <c:formatCode>General</c:formatCode>
                <c:ptCount val="7"/>
                <c:pt idx="0">
                  <c:v>2015</c:v>
                </c:pt>
                <c:pt idx="1">
                  <c:v>2016</c:v>
                </c:pt>
                <c:pt idx="2">
                  <c:v>2017</c:v>
                </c:pt>
                <c:pt idx="3">
                  <c:v>2018</c:v>
                </c:pt>
                <c:pt idx="4">
                  <c:v>2019</c:v>
                </c:pt>
                <c:pt idx="5">
                  <c:v>2020</c:v>
                </c:pt>
                <c:pt idx="6">
                  <c:v>2021</c:v>
                </c:pt>
              </c:numCache>
            </c:numRef>
          </c:cat>
          <c:val>
            <c:numRef>
              <c:f>'North Pipe Lake Analysis'!$BG$22:$BG$28</c:f>
              <c:numCache>
                <c:formatCode>0.0</c:formatCode>
                <c:ptCount val="7"/>
                <c:pt idx="0">
                  <c:v>24.3</c:v>
                </c:pt>
                <c:pt idx="1">
                  <c:v>29.7</c:v>
                </c:pt>
                <c:pt idx="2">
                  <c:v>32.1</c:v>
                </c:pt>
                <c:pt idx="3">
                  <c:v>26</c:v>
                </c:pt>
                <c:pt idx="4">
                  <c:v>29.166666666666668</c:v>
                </c:pt>
                <c:pt idx="5">
                  <c:v>37.950000000000003</c:v>
                </c:pt>
                <c:pt idx="6">
                  <c:v>36.342857142857142</c:v>
                </c:pt>
              </c:numCache>
            </c:numRef>
          </c:val>
          <c:smooth val="0"/>
          <c:extLst>
            <c:ext xmlns:c16="http://schemas.microsoft.com/office/drawing/2014/chart" uri="{C3380CC4-5D6E-409C-BE32-E72D297353CC}">
              <c16:uniqueId val="{00000001-760D-44A4-87C6-171E8F0D078B}"/>
            </c:ext>
          </c:extLst>
        </c:ser>
        <c:dLbls>
          <c:showLegendKey val="0"/>
          <c:showVal val="0"/>
          <c:showCatName val="0"/>
          <c:showSerName val="0"/>
          <c:showPercent val="0"/>
          <c:showBubbleSize val="0"/>
        </c:dLbls>
        <c:marker val="1"/>
        <c:smooth val="0"/>
        <c:axId val="364744496"/>
        <c:axId val="364746576"/>
      </c:lineChart>
      <c:catAx>
        <c:axId val="36474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64746576"/>
        <c:crosses val="autoZero"/>
        <c:auto val="1"/>
        <c:lblAlgn val="ctr"/>
        <c:lblOffset val="100"/>
        <c:noMultiLvlLbl val="0"/>
      </c:catAx>
      <c:valAx>
        <c:axId val="364746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t>Total Phosphorus </a:t>
                </a:r>
                <a:r>
                  <a:rPr lang="en-US" sz="1100" baseline="0"/>
                  <a:t>(</a:t>
                </a:r>
                <a:r>
                  <a:rPr lang="en-US" sz="1100" b="0" i="0" u="none" strike="noStrike" baseline="0">
                    <a:effectLst/>
                  </a:rPr>
                  <a:t>µg/l)</a:t>
                </a:r>
                <a:r>
                  <a:rPr lang="en-US" sz="1100" baseline="0"/>
                  <a:t> </a:t>
                </a:r>
                <a:endParaRPr lang="en-US" sz="1100"/>
              </a:p>
            </c:rich>
          </c:tx>
          <c:layout>
            <c:manualLayout>
              <c:xMode val="edge"/>
              <c:yMode val="edge"/>
              <c:x val="2.4123061111121665E-2"/>
              <c:y val="0.1714686230201662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6474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a:t>Bottom Total Phosphorus Levels for Pipe and North Pipe Lakes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3"/>
          <c:order val="0"/>
          <c:tx>
            <c:v>Pipe Lake </c:v>
          </c:tx>
          <c:spPr>
            <a:ln w="28575" cap="rnd">
              <a:solidFill>
                <a:schemeClr val="accent2"/>
              </a:solidFill>
              <a:round/>
            </a:ln>
            <a:effectLst/>
          </c:spPr>
          <c:marker>
            <c:symbol val="none"/>
          </c:marker>
          <c:cat>
            <c:numRef>
              <c:f>'Pipe Lake Analysis'!$BT$25:$BT$31</c:f>
              <c:numCache>
                <c:formatCode>General</c:formatCode>
                <c:ptCount val="7"/>
                <c:pt idx="0">
                  <c:v>2015</c:v>
                </c:pt>
                <c:pt idx="1">
                  <c:v>2016</c:v>
                </c:pt>
                <c:pt idx="2">
                  <c:v>2017</c:v>
                </c:pt>
                <c:pt idx="3">
                  <c:v>2018</c:v>
                </c:pt>
                <c:pt idx="4">
                  <c:v>2019</c:v>
                </c:pt>
                <c:pt idx="5">
                  <c:v>2020</c:v>
                </c:pt>
                <c:pt idx="6">
                  <c:v>2021</c:v>
                </c:pt>
              </c:numCache>
            </c:numRef>
          </c:cat>
          <c:val>
            <c:numRef>
              <c:f>'Pipe Lake Analysis'!$CC$22:$CC$28</c:f>
              <c:numCache>
                <c:formatCode>0.0</c:formatCode>
                <c:ptCount val="7"/>
                <c:pt idx="0">
                  <c:v>22</c:v>
                </c:pt>
                <c:pt idx="1">
                  <c:v>43</c:v>
                </c:pt>
                <c:pt idx="2">
                  <c:v>46</c:v>
                </c:pt>
                <c:pt idx="3">
                  <c:v>45</c:v>
                </c:pt>
                <c:pt idx="4">
                  <c:v>34</c:v>
                </c:pt>
                <c:pt idx="5">
                  <c:v>27</c:v>
                </c:pt>
                <c:pt idx="6">
                  <c:v>34.333333333333336</c:v>
                </c:pt>
              </c:numCache>
            </c:numRef>
          </c:val>
          <c:smooth val="0"/>
          <c:extLst>
            <c:ext xmlns:c16="http://schemas.microsoft.com/office/drawing/2014/chart" uri="{C3380CC4-5D6E-409C-BE32-E72D297353CC}">
              <c16:uniqueId val="{00000000-C32F-4D7E-862B-B7663B83E743}"/>
            </c:ext>
          </c:extLst>
        </c:ser>
        <c:ser>
          <c:idx val="4"/>
          <c:order val="1"/>
          <c:tx>
            <c:v>North Pipe Lake</c:v>
          </c:tx>
          <c:spPr>
            <a:ln w="28575" cap="rnd">
              <a:solidFill>
                <a:schemeClr val="accent5"/>
              </a:solidFill>
              <a:round/>
            </a:ln>
            <a:effectLst/>
          </c:spPr>
          <c:marker>
            <c:symbol val="none"/>
          </c:marker>
          <c:cat>
            <c:numRef>
              <c:f>'Pipe Lake Analysis'!$BT$25:$BT$31</c:f>
              <c:numCache>
                <c:formatCode>General</c:formatCode>
                <c:ptCount val="7"/>
                <c:pt idx="0">
                  <c:v>2015</c:v>
                </c:pt>
                <c:pt idx="1">
                  <c:v>2016</c:v>
                </c:pt>
                <c:pt idx="2">
                  <c:v>2017</c:v>
                </c:pt>
                <c:pt idx="3">
                  <c:v>2018</c:v>
                </c:pt>
                <c:pt idx="4">
                  <c:v>2019</c:v>
                </c:pt>
                <c:pt idx="5">
                  <c:v>2020</c:v>
                </c:pt>
                <c:pt idx="6">
                  <c:v>2021</c:v>
                </c:pt>
              </c:numCache>
            </c:numRef>
          </c:cat>
          <c:val>
            <c:numRef>
              <c:f>'North Pipe Lake Analysis'!$BP$22:$BP$28</c:f>
              <c:numCache>
                <c:formatCode>0.0</c:formatCode>
                <c:ptCount val="7"/>
                <c:pt idx="0">
                  <c:v>130</c:v>
                </c:pt>
                <c:pt idx="1">
                  <c:v>195.75</c:v>
                </c:pt>
                <c:pt idx="2">
                  <c:v>169.5</c:v>
                </c:pt>
                <c:pt idx="3">
                  <c:v>103.5</c:v>
                </c:pt>
                <c:pt idx="4">
                  <c:v>242.33333333333334</c:v>
                </c:pt>
                <c:pt idx="5">
                  <c:v>130</c:v>
                </c:pt>
                <c:pt idx="6">
                  <c:v>179.6</c:v>
                </c:pt>
              </c:numCache>
            </c:numRef>
          </c:val>
          <c:smooth val="0"/>
          <c:extLst>
            <c:ext xmlns:c16="http://schemas.microsoft.com/office/drawing/2014/chart" uri="{C3380CC4-5D6E-409C-BE32-E72D297353CC}">
              <c16:uniqueId val="{00000001-C32F-4D7E-862B-B7663B83E743}"/>
            </c:ext>
          </c:extLst>
        </c:ser>
        <c:dLbls>
          <c:showLegendKey val="0"/>
          <c:showVal val="0"/>
          <c:showCatName val="0"/>
          <c:showSerName val="0"/>
          <c:showPercent val="0"/>
          <c:showBubbleSize val="0"/>
        </c:dLbls>
        <c:smooth val="0"/>
        <c:axId val="364744496"/>
        <c:axId val="364746576"/>
      </c:lineChart>
      <c:catAx>
        <c:axId val="36474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64746576"/>
        <c:crosses val="autoZero"/>
        <c:auto val="1"/>
        <c:lblAlgn val="ctr"/>
        <c:lblOffset val="100"/>
        <c:noMultiLvlLbl val="0"/>
      </c:catAx>
      <c:valAx>
        <c:axId val="364746576"/>
        <c:scaling>
          <c:orientation val="minMax"/>
          <c:max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t>Total Phosphorus </a:t>
                </a:r>
                <a:r>
                  <a:rPr lang="en-US" sz="1100" baseline="0"/>
                  <a:t>(</a:t>
                </a:r>
                <a:r>
                  <a:rPr lang="en-US" sz="1100" b="0" i="0" u="none" strike="noStrike" baseline="0">
                    <a:effectLst/>
                  </a:rPr>
                  <a:t>µg/l)</a:t>
                </a:r>
                <a:r>
                  <a:rPr lang="en-US" sz="1100" baseline="0"/>
                  <a:t> </a:t>
                </a:r>
                <a:endParaRPr lang="en-US" sz="1100"/>
              </a:p>
            </c:rich>
          </c:tx>
          <c:layout>
            <c:manualLayout>
              <c:xMode val="edge"/>
              <c:yMode val="edge"/>
              <c:x val="2.4123061111121665E-2"/>
              <c:y val="0.17146862302016624"/>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crossAx val="36474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chemeClr val="tx1"/>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2021 Pipe Lake and North Pipe Lake</a:t>
            </a:r>
            <a:r>
              <a:rPr lang="en-US" baseline="0"/>
              <a:t> </a:t>
            </a:r>
            <a:r>
              <a:rPr lang="en-US"/>
              <a:t>Dissolved Oxygen Profiles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smoothMarker"/>
        <c:varyColors val="0"/>
        <c:ser>
          <c:idx val="1"/>
          <c:order val="0"/>
          <c:tx>
            <c:v>Pipe Jul</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'PL Sum Analysis'!$DC$7:$DC$25</c:f>
              <c:numCache>
                <c:formatCode>General</c:formatCode>
                <c:ptCount val="19"/>
                <c:pt idx="0">
                  <c:v>8.48</c:v>
                </c:pt>
                <c:pt idx="1">
                  <c:v>8.5500000000000007</c:v>
                </c:pt>
                <c:pt idx="2">
                  <c:v>8.57</c:v>
                </c:pt>
                <c:pt idx="3">
                  <c:v>8.5500000000000007</c:v>
                </c:pt>
                <c:pt idx="4">
                  <c:v>8.59</c:v>
                </c:pt>
                <c:pt idx="5">
                  <c:v>8.0399999999999991</c:v>
                </c:pt>
                <c:pt idx="6">
                  <c:v>6.96</c:v>
                </c:pt>
                <c:pt idx="7">
                  <c:v>5.88</c:v>
                </c:pt>
                <c:pt idx="8">
                  <c:v>5.64</c:v>
                </c:pt>
                <c:pt idx="9">
                  <c:v>4.8</c:v>
                </c:pt>
                <c:pt idx="10">
                  <c:v>4.0999999999999996</c:v>
                </c:pt>
                <c:pt idx="11">
                  <c:v>3.88</c:v>
                </c:pt>
                <c:pt idx="12">
                  <c:v>3.58</c:v>
                </c:pt>
                <c:pt idx="13">
                  <c:v>2.91</c:v>
                </c:pt>
                <c:pt idx="14">
                  <c:v>2.88</c:v>
                </c:pt>
                <c:pt idx="15">
                  <c:v>2.44</c:v>
                </c:pt>
                <c:pt idx="16">
                  <c:v>2.31</c:v>
                </c:pt>
                <c:pt idx="17">
                  <c:v>1.18</c:v>
                </c:pt>
                <c:pt idx="18">
                  <c:v>0.35</c:v>
                </c:pt>
              </c:numCache>
            </c:numRef>
          </c:xVal>
          <c:yVal>
            <c:numRef>
              <c:f>'PL Sum Analysis'!$DA$7:$DA$25</c:f>
              <c:numCache>
                <c:formatCode>General</c:formatCode>
                <c:ptCount val="19"/>
                <c:pt idx="0">
                  <c:v>0</c:v>
                </c:pt>
                <c:pt idx="1">
                  <c:v>3</c:v>
                </c:pt>
                <c:pt idx="2">
                  <c:v>7</c:v>
                </c:pt>
                <c:pt idx="3">
                  <c:v>10</c:v>
                </c:pt>
                <c:pt idx="4">
                  <c:v>13</c:v>
                </c:pt>
                <c:pt idx="5">
                  <c:v>16</c:v>
                </c:pt>
                <c:pt idx="6">
                  <c:v>20</c:v>
                </c:pt>
                <c:pt idx="7">
                  <c:v>23</c:v>
                </c:pt>
                <c:pt idx="8">
                  <c:v>26</c:v>
                </c:pt>
                <c:pt idx="9">
                  <c:v>30</c:v>
                </c:pt>
                <c:pt idx="10">
                  <c:v>33</c:v>
                </c:pt>
                <c:pt idx="11">
                  <c:v>36</c:v>
                </c:pt>
                <c:pt idx="12">
                  <c:v>39</c:v>
                </c:pt>
                <c:pt idx="13">
                  <c:v>43</c:v>
                </c:pt>
                <c:pt idx="14">
                  <c:v>46</c:v>
                </c:pt>
                <c:pt idx="15">
                  <c:v>49</c:v>
                </c:pt>
                <c:pt idx="16">
                  <c:v>52</c:v>
                </c:pt>
                <c:pt idx="17">
                  <c:v>56</c:v>
                </c:pt>
                <c:pt idx="18">
                  <c:v>59</c:v>
                </c:pt>
              </c:numCache>
            </c:numRef>
          </c:yVal>
          <c:smooth val="1"/>
          <c:extLst>
            <c:ext xmlns:c16="http://schemas.microsoft.com/office/drawing/2014/chart" uri="{C3380CC4-5D6E-409C-BE32-E72D297353CC}">
              <c16:uniqueId val="{00000000-985C-42A8-86FB-EB11AAA72D84}"/>
            </c:ext>
          </c:extLst>
        </c:ser>
        <c:ser>
          <c:idx val="0"/>
          <c:order val="1"/>
          <c:tx>
            <c:v>Pipe Aug</c:v>
          </c:tx>
          <c:spPr>
            <a:ln w="19050" cap="rnd">
              <a:solidFill>
                <a:srgbClr val="7030A0"/>
              </a:solidFill>
              <a:round/>
            </a:ln>
            <a:effectLst/>
          </c:spPr>
          <c:marker>
            <c:symbol val="circle"/>
            <c:size val="5"/>
            <c:spPr>
              <a:solidFill>
                <a:srgbClr val="7030A0"/>
              </a:solidFill>
              <a:ln w="9525">
                <a:solidFill>
                  <a:srgbClr val="7030A0"/>
                </a:solidFill>
              </a:ln>
              <a:effectLst/>
            </c:spPr>
          </c:marker>
          <c:xVal>
            <c:numRef>
              <c:f>'PL Sum Analysis'!$DD$7:$DD$26</c:f>
              <c:numCache>
                <c:formatCode>General</c:formatCode>
                <c:ptCount val="20"/>
                <c:pt idx="0">
                  <c:v>8.48</c:v>
                </c:pt>
                <c:pt idx="1">
                  <c:v>8.51</c:v>
                </c:pt>
                <c:pt idx="2">
                  <c:v>8.5</c:v>
                </c:pt>
                <c:pt idx="3">
                  <c:v>8.48</c:v>
                </c:pt>
                <c:pt idx="4">
                  <c:v>8.42</c:v>
                </c:pt>
                <c:pt idx="5">
                  <c:v>8.31</c:v>
                </c:pt>
                <c:pt idx="6">
                  <c:v>7.15</c:v>
                </c:pt>
                <c:pt idx="7">
                  <c:v>5.01</c:v>
                </c:pt>
                <c:pt idx="8">
                  <c:v>3.38</c:v>
                </c:pt>
                <c:pt idx="9">
                  <c:v>2.0099999999999998</c:v>
                </c:pt>
                <c:pt idx="10">
                  <c:v>1.27</c:v>
                </c:pt>
                <c:pt idx="11">
                  <c:v>0.65</c:v>
                </c:pt>
                <c:pt idx="12">
                  <c:v>0.21</c:v>
                </c:pt>
                <c:pt idx="13">
                  <c:v>0.14000000000000001</c:v>
                </c:pt>
                <c:pt idx="14">
                  <c:v>0.11</c:v>
                </c:pt>
                <c:pt idx="15">
                  <c:v>0.09</c:v>
                </c:pt>
                <c:pt idx="16">
                  <c:v>0.06</c:v>
                </c:pt>
                <c:pt idx="17">
                  <c:v>0.05</c:v>
                </c:pt>
                <c:pt idx="18">
                  <c:v>0.04</c:v>
                </c:pt>
                <c:pt idx="19">
                  <c:v>0.03</c:v>
                </c:pt>
              </c:numCache>
            </c:numRef>
          </c:xVal>
          <c:yVal>
            <c:numRef>
              <c:f>'PL Sum Analysis'!$DA$7:$DA$26</c:f>
              <c:numCache>
                <c:formatCode>General</c:formatCode>
                <c:ptCount val="20"/>
                <c:pt idx="0">
                  <c:v>0</c:v>
                </c:pt>
                <c:pt idx="1">
                  <c:v>3</c:v>
                </c:pt>
                <c:pt idx="2">
                  <c:v>7</c:v>
                </c:pt>
                <c:pt idx="3">
                  <c:v>10</c:v>
                </c:pt>
                <c:pt idx="4">
                  <c:v>13</c:v>
                </c:pt>
                <c:pt idx="5">
                  <c:v>16</c:v>
                </c:pt>
                <c:pt idx="6">
                  <c:v>20</c:v>
                </c:pt>
                <c:pt idx="7">
                  <c:v>23</c:v>
                </c:pt>
                <c:pt idx="8">
                  <c:v>26</c:v>
                </c:pt>
                <c:pt idx="9">
                  <c:v>30</c:v>
                </c:pt>
                <c:pt idx="10">
                  <c:v>33</c:v>
                </c:pt>
                <c:pt idx="11">
                  <c:v>36</c:v>
                </c:pt>
                <c:pt idx="12">
                  <c:v>39</c:v>
                </c:pt>
                <c:pt idx="13">
                  <c:v>43</c:v>
                </c:pt>
                <c:pt idx="14">
                  <c:v>46</c:v>
                </c:pt>
                <c:pt idx="15">
                  <c:v>49</c:v>
                </c:pt>
                <c:pt idx="16">
                  <c:v>52</c:v>
                </c:pt>
                <c:pt idx="17">
                  <c:v>56</c:v>
                </c:pt>
                <c:pt idx="18">
                  <c:v>59</c:v>
                </c:pt>
                <c:pt idx="19">
                  <c:v>62</c:v>
                </c:pt>
              </c:numCache>
            </c:numRef>
          </c:yVal>
          <c:smooth val="1"/>
          <c:extLst>
            <c:ext xmlns:c16="http://schemas.microsoft.com/office/drawing/2014/chart" uri="{C3380CC4-5D6E-409C-BE32-E72D297353CC}">
              <c16:uniqueId val="{00000001-985C-42A8-86FB-EB11AAA72D84}"/>
            </c:ext>
          </c:extLst>
        </c:ser>
        <c:ser>
          <c:idx val="3"/>
          <c:order val="2"/>
          <c:tx>
            <c:v>Pipe Sept</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'PL Sum Analysis'!$DE$7:$DE$26</c:f>
              <c:numCache>
                <c:formatCode>General</c:formatCode>
                <c:ptCount val="20"/>
                <c:pt idx="0">
                  <c:v>8.65</c:v>
                </c:pt>
                <c:pt idx="1">
                  <c:v>8.6300000000000008</c:v>
                </c:pt>
                <c:pt idx="2">
                  <c:v>8.6199999999999992</c:v>
                </c:pt>
                <c:pt idx="3">
                  <c:v>8.59</c:v>
                </c:pt>
                <c:pt idx="4">
                  <c:v>8.57</c:v>
                </c:pt>
                <c:pt idx="5">
                  <c:v>8.56</c:v>
                </c:pt>
                <c:pt idx="6">
                  <c:v>8.5399999999999991</c:v>
                </c:pt>
                <c:pt idx="7">
                  <c:v>8.4700000000000006</c:v>
                </c:pt>
                <c:pt idx="8">
                  <c:v>5.52</c:v>
                </c:pt>
                <c:pt idx="9">
                  <c:v>0.43</c:v>
                </c:pt>
                <c:pt idx="10">
                  <c:v>0.3</c:v>
                </c:pt>
                <c:pt idx="11">
                  <c:v>0.15</c:v>
                </c:pt>
                <c:pt idx="12">
                  <c:v>0.14000000000000001</c:v>
                </c:pt>
                <c:pt idx="13">
                  <c:v>0.11</c:v>
                </c:pt>
                <c:pt idx="14">
                  <c:v>0.1</c:v>
                </c:pt>
                <c:pt idx="15">
                  <c:v>0.08</c:v>
                </c:pt>
                <c:pt idx="16">
                  <c:v>0.08</c:v>
                </c:pt>
                <c:pt idx="17">
                  <c:v>0.06</c:v>
                </c:pt>
                <c:pt idx="18">
                  <c:v>0.06</c:v>
                </c:pt>
                <c:pt idx="19">
                  <c:v>0.05</c:v>
                </c:pt>
              </c:numCache>
            </c:numRef>
          </c:xVal>
          <c:yVal>
            <c:numRef>
              <c:f>'PL Sum Analysis'!$DA$7:$DA$26</c:f>
              <c:numCache>
                <c:formatCode>General</c:formatCode>
                <c:ptCount val="20"/>
                <c:pt idx="0">
                  <c:v>0</c:v>
                </c:pt>
                <c:pt idx="1">
                  <c:v>3</c:v>
                </c:pt>
                <c:pt idx="2">
                  <c:v>7</c:v>
                </c:pt>
                <c:pt idx="3">
                  <c:v>10</c:v>
                </c:pt>
                <c:pt idx="4">
                  <c:v>13</c:v>
                </c:pt>
                <c:pt idx="5">
                  <c:v>16</c:v>
                </c:pt>
                <c:pt idx="6">
                  <c:v>20</c:v>
                </c:pt>
                <c:pt idx="7">
                  <c:v>23</c:v>
                </c:pt>
                <c:pt idx="8">
                  <c:v>26</c:v>
                </c:pt>
                <c:pt idx="9">
                  <c:v>30</c:v>
                </c:pt>
                <c:pt idx="10">
                  <c:v>33</c:v>
                </c:pt>
                <c:pt idx="11">
                  <c:v>36</c:v>
                </c:pt>
                <c:pt idx="12">
                  <c:v>39</c:v>
                </c:pt>
                <c:pt idx="13">
                  <c:v>43</c:v>
                </c:pt>
                <c:pt idx="14">
                  <c:v>46</c:v>
                </c:pt>
                <c:pt idx="15">
                  <c:v>49</c:v>
                </c:pt>
                <c:pt idx="16">
                  <c:v>52</c:v>
                </c:pt>
                <c:pt idx="17">
                  <c:v>56</c:v>
                </c:pt>
                <c:pt idx="18">
                  <c:v>59</c:v>
                </c:pt>
                <c:pt idx="19">
                  <c:v>62</c:v>
                </c:pt>
              </c:numCache>
            </c:numRef>
          </c:yVal>
          <c:smooth val="1"/>
          <c:extLst>
            <c:ext xmlns:c16="http://schemas.microsoft.com/office/drawing/2014/chart" uri="{C3380CC4-5D6E-409C-BE32-E72D297353CC}">
              <c16:uniqueId val="{00000002-985C-42A8-86FB-EB11AAA72D84}"/>
            </c:ext>
          </c:extLst>
        </c:ser>
        <c:ser>
          <c:idx val="4"/>
          <c:order val="3"/>
          <c:tx>
            <c:v>Pipe Oct</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'PL Sum Analysis'!$DF$7:$DF$26</c:f>
              <c:numCache>
                <c:formatCode>General</c:formatCode>
                <c:ptCount val="20"/>
                <c:pt idx="0">
                  <c:v>8.3699999999999992</c:v>
                </c:pt>
                <c:pt idx="1">
                  <c:v>8.34</c:v>
                </c:pt>
                <c:pt idx="2">
                  <c:v>8.32</c:v>
                </c:pt>
                <c:pt idx="3">
                  <c:v>8.3000000000000007</c:v>
                </c:pt>
                <c:pt idx="4">
                  <c:v>8.31</c:v>
                </c:pt>
                <c:pt idx="5">
                  <c:v>8.3000000000000007</c:v>
                </c:pt>
                <c:pt idx="6">
                  <c:v>8.27</c:v>
                </c:pt>
                <c:pt idx="7">
                  <c:v>8.26</c:v>
                </c:pt>
                <c:pt idx="8">
                  <c:v>8.26</c:v>
                </c:pt>
                <c:pt idx="9">
                  <c:v>8.2200000000000006</c:v>
                </c:pt>
                <c:pt idx="10">
                  <c:v>0.34</c:v>
                </c:pt>
                <c:pt idx="11">
                  <c:v>0.27</c:v>
                </c:pt>
                <c:pt idx="12">
                  <c:v>0.19</c:v>
                </c:pt>
                <c:pt idx="13">
                  <c:v>0.14000000000000001</c:v>
                </c:pt>
                <c:pt idx="14">
                  <c:v>0.13</c:v>
                </c:pt>
                <c:pt idx="15">
                  <c:v>0.12</c:v>
                </c:pt>
                <c:pt idx="16">
                  <c:v>0.1</c:v>
                </c:pt>
                <c:pt idx="17">
                  <c:v>0.08</c:v>
                </c:pt>
                <c:pt idx="18">
                  <c:v>0.08</c:v>
                </c:pt>
                <c:pt idx="19">
                  <c:v>7.0000000000000007E-2</c:v>
                </c:pt>
              </c:numCache>
            </c:numRef>
          </c:xVal>
          <c:yVal>
            <c:numRef>
              <c:f>'PL Sum Analysis'!$DA$7:$DA$26</c:f>
              <c:numCache>
                <c:formatCode>General</c:formatCode>
                <c:ptCount val="20"/>
                <c:pt idx="0">
                  <c:v>0</c:v>
                </c:pt>
                <c:pt idx="1">
                  <c:v>3</c:v>
                </c:pt>
                <c:pt idx="2">
                  <c:v>7</c:v>
                </c:pt>
                <c:pt idx="3">
                  <c:v>10</c:v>
                </c:pt>
                <c:pt idx="4">
                  <c:v>13</c:v>
                </c:pt>
                <c:pt idx="5">
                  <c:v>16</c:v>
                </c:pt>
                <c:pt idx="6">
                  <c:v>20</c:v>
                </c:pt>
                <c:pt idx="7">
                  <c:v>23</c:v>
                </c:pt>
                <c:pt idx="8">
                  <c:v>26</c:v>
                </c:pt>
                <c:pt idx="9">
                  <c:v>30</c:v>
                </c:pt>
                <c:pt idx="10">
                  <c:v>33</c:v>
                </c:pt>
                <c:pt idx="11">
                  <c:v>36</c:v>
                </c:pt>
                <c:pt idx="12">
                  <c:v>39</c:v>
                </c:pt>
                <c:pt idx="13">
                  <c:v>43</c:v>
                </c:pt>
                <c:pt idx="14">
                  <c:v>46</c:v>
                </c:pt>
                <c:pt idx="15">
                  <c:v>49</c:v>
                </c:pt>
                <c:pt idx="16">
                  <c:v>52</c:v>
                </c:pt>
                <c:pt idx="17">
                  <c:v>56</c:v>
                </c:pt>
                <c:pt idx="18">
                  <c:v>59</c:v>
                </c:pt>
                <c:pt idx="19">
                  <c:v>62</c:v>
                </c:pt>
              </c:numCache>
            </c:numRef>
          </c:yVal>
          <c:smooth val="1"/>
          <c:extLst>
            <c:ext xmlns:c16="http://schemas.microsoft.com/office/drawing/2014/chart" uri="{C3380CC4-5D6E-409C-BE32-E72D297353CC}">
              <c16:uniqueId val="{00000003-985C-42A8-86FB-EB11AAA72D84}"/>
            </c:ext>
          </c:extLst>
        </c:ser>
        <c:ser>
          <c:idx val="2"/>
          <c:order val="4"/>
          <c:tx>
            <c:v>North Pipe Jul</c:v>
          </c:tx>
          <c:spPr>
            <a:ln w="19050" cap="rnd">
              <a:solidFill>
                <a:schemeClr val="accent3"/>
              </a:solidFill>
              <a:round/>
            </a:ln>
            <a:effectLst/>
          </c:spPr>
          <c:marker>
            <c:symbol val="triangle"/>
            <c:size val="5"/>
            <c:spPr>
              <a:solidFill>
                <a:schemeClr val="accent3"/>
              </a:solidFill>
              <a:ln w="9525">
                <a:solidFill>
                  <a:schemeClr val="accent3"/>
                </a:solidFill>
              </a:ln>
              <a:effectLst/>
            </c:spPr>
          </c:marker>
          <c:xVal>
            <c:numRef>
              <c:f>'NP Sum Analysis'!$DB$7:$DB$16</c:f>
              <c:numCache>
                <c:formatCode>General</c:formatCode>
                <c:ptCount val="10"/>
                <c:pt idx="0">
                  <c:v>9.94</c:v>
                </c:pt>
                <c:pt idx="1">
                  <c:v>9.7100000000000009</c:v>
                </c:pt>
                <c:pt idx="2">
                  <c:v>8.6199999999999992</c:v>
                </c:pt>
                <c:pt idx="3">
                  <c:v>1.17</c:v>
                </c:pt>
                <c:pt idx="4">
                  <c:v>0.38</c:v>
                </c:pt>
                <c:pt idx="5">
                  <c:v>0.21</c:v>
                </c:pt>
                <c:pt idx="6">
                  <c:v>0.13</c:v>
                </c:pt>
                <c:pt idx="7">
                  <c:v>0.06</c:v>
                </c:pt>
                <c:pt idx="8">
                  <c:v>0.03</c:v>
                </c:pt>
                <c:pt idx="9">
                  <c:v>0.02</c:v>
                </c:pt>
              </c:numCache>
            </c:numRef>
          </c:xVal>
          <c:yVal>
            <c:numRef>
              <c:f>'NP Sum Analysis'!$DA$7:$DA$16</c:f>
              <c:numCache>
                <c:formatCode>General</c:formatCode>
                <c:ptCount val="10"/>
                <c:pt idx="0">
                  <c:v>0</c:v>
                </c:pt>
                <c:pt idx="1">
                  <c:v>3</c:v>
                </c:pt>
                <c:pt idx="2">
                  <c:v>7</c:v>
                </c:pt>
                <c:pt idx="3">
                  <c:v>10</c:v>
                </c:pt>
                <c:pt idx="4">
                  <c:v>13</c:v>
                </c:pt>
                <c:pt idx="5">
                  <c:v>16</c:v>
                </c:pt>
                <c:pt idx="6">
                  <c:v>20</c:v>
                </c:pt>
                <c:pt idx="7">
                  <c:v>23</c:v>
                </c:pt>
                <c:pt idx="8">
                  <c:v>26</c:v>
                </c:pt>
                <c:pt idx="9">
                  <c:v>30</c:v>
                </c:pt>
              </c:numCache>
            </c:numRef>
          </c:yVal>
          <c:smooth val="1"/>
          <c:extLst>
            <c:ext xmlns:c16="http://schemas.microsoft.com/office/drawing/2014/chart" uri="{C3380CC4-5D6E-409C-BE32-E72D297353CC}">
              <c16:uniqueId val="{00000004-985C-42A8-86FB-EB11AAA72D84}"/>
            </c:ext>
          </c:extLst>
        </c:ser>
        <c:ser>
          <c:idx val="5"/>
          <c:order val="5"/>
          <c:tx>
            <c:v>North Pipe Aug</c:v>
          </c:tx>
          <c:spPr>
            <a:ln w="19050" cap="rnd">
              <a:solidFill>
                <a:schemeClr val="accent6"/>
              </a:solidFill>
              <a:round/>
            </a:ln>
            <a:effectLst/>
          </c:spPr>
          <c:marker>
            <c:symbol val="triangle"/>
            <c:size val="5"/>
            <c:spPr>
              <a:solidFill>
                <a:schemeClr val="accent6"/>
              </a:solidFill>
              <a:ln w="9525">
                <a:solidFill>
                  <a:schemeClr val="accent6"/>
                </a:solidFill>
              </a:ln>
              <a:effectLst/>
            </c:spPr>
          </c:marker>
          <c:xVal>
            <c:numRef>
              <c:f>'NP Sum Analysis'!$DC$7:$DC$18</c:f>
              <c:numCache>
                <c:formatCode>General</c:formatCode>
                <c:ptCount val="12"/>
                <c:pt idx="0">
                  <c:v>8.73</c:v>
                </c:pt>
                <c:pt idx="1">
                  <c:v>8.74</c:v>
                </c:pt>
                <c:pt idx="2">
                  <c:v>8.6199999999999992</c:v>
                </c:pt>
                <c:pt idx="3">
                  <c:v>0.71</c:v>
                </c:pt>
                <c:pt idx="4">
                  <c:v>0.71</c:v>
                </c:pt>
                <c:pt idx="5">
                  <c:v>0.31</c:v>
                </c:pt>
                <c:pt idx="6">
                  <c:v>0.2</c:v>
                </c:pt>
                <c:pt idx="7">
                  <c:v>0.14000000000000001</c:v>
                </c:pt>
                <c:pt idx="8">
                  <c:v>0.11</c:v>
                </c:pt>
                <c:pt idx="9">
                  <c:v>7.0000000000000007E-2</c:v>
                </c:pt>
                <c:pt idx="10">
                  <c:v>0.06</c:v>
                </c:pt>
                <c:pt idx="11">
                  <c:v>0.05</c:v>
                </c:pt>
              </c:numCache>
            </c:numRef>
          </c:xVal>
          <c:yVal>
            <c:numRef>
              <c:f>'NP Sum Analysis'!$DA$7:$DA$18</c:f>
              <c:numCache>
                <c:formatCode>General</c:formatCode>
                <c:ptCount val="12"/>
                <c:pt idx="0">
                  <c:v>0</c:v>
                </c:pt>
                <c:pt idx="1">
                  <c:v>3</c:v>
                </c:pt>
                <c:pt idx="2">
                  <c:v>7</c:v>
                </c:pt>
                <c:pt idx="3">
                  <c:v>10</c:v>
                </c:pt>
                <c:pt idx="4">
                  <c:v>13</c:v>
                </c:pt>
                <c:pt idx="5">
                  <c:v>16</c:v>
                </c:pt>
                <c:pt idx="6">
                  <c:v>20</c:v>
                </c:pt>
                <c:pt idx="7">
                  <c:v>23</c:v>
                </c:pt>
                <c:pt idx="8">
                  <c:v>26</c:v>
                </c:pt>
                <c:pt idx="9">
                  <c:v>30</c:v>
                </c:pt>
                <c:pt idx="10">
                  <c:v>33</c:v>
                </c:pt>
                <c:pt idx="11">
                  <c:v>34</c:v>
                </c:pt>
              </c:numCache>
            </c:numRef>
          </c:yVal>
          <c:smooth val="1"/>
          <c:extLst>
            <c:ext xmlns:c16="http://schemas.microsoft.com/office/drawing/2014/chart" uri="{C3380CC4-5D6E-409C-BE32-E72D297353CC}">
              <c16:uniqueId val="{00000005-985C-42A8-86FB-EB11AAA72D84}"/>
            </c:ext>
          </c:extLst>
        </c:ser>
        <c:ser>
          <c:idx val="6"/>
          <c:order val="6"/>
          <c:tx>
            <c:v>North Pipe Sept</c:v>
          </c:tx>
          <c:spPr>
            <a:ln w="19050" cap="rnd">
              <a:solidFill>
                <a:schemeClr val="accent1">
                  <a:lumMod val="60000"/>
                </a:schemeClr>
              </a:solidFill>
              <a:round/>
            </a:ln>
            <a:effectLst/>
          </c:spPr>
          <c:marker>
            <c:symbol val="triangle"/>
            <c:size val="5"/>
            <c:spPr>
              <a:solidFill>
                <a:schemeClr val="accent1">
                  <a:lumMod val="60000"/>
                </a:schemeClr>
              </a:solidFill>
              <a:ln w="9525">
                <a:solidFill>
                  <a:schemeClr val="accent1">
                    <a:lumMod val="60000"/>
                  </a:schemeClr>
                </a:solidFill>
              </a:ln>
              <a:effectLst/>
            </c:spPr>
          </c:marker>
          <c:xVal>
            <c:numRef>
              <c:f>'NP Sum Analysis'!$DD$7:$DD$18</c:f>
              <c:numCache>
                <c:formatCode>General</c:formatCode>
                <c:ptCount val="12"/>
                <c:pt idx="0">
                  <c:v>7.74</c:v>
                </c:pt>
                <c:pt idx="1">
                  <c:v>7.65</c:v>
                </c:pt>
                <c:pt idx="2">
                  <c:v>7.58</c:v>
                </c:pt>
                <c:pt idx="3">
                  <c:v>7.52</c:v>
                </c:pt>
                <c:pt idx="4">
                  <c:v>7.56</c:v>
                </c:pt>
                <c:pt idx="5">
                  <c:v>0.56999999999999995</c:v>
                </c:pt>
                <c:pt idx="6">
                  <c:v>0.37</c:v>
                </c:pt>
                <c:pt idx="7">
                  <c:v>0.17</c:v>
                </c:pt>
                <c:pt idx="8">
                  <c:v>0.15</c:v>
                </c:pt>
                <c:pt idx="9">
                  <c:v>0.13</c:v>
                </c:pt>
                <c:pt idx="10">
                  <c:v>0.09</c:v>
                </c:pt>
                <c:pt idx="11">
                  <c:v>7.0000000000000007E-2</c:v>
                </c:pt>
              </c:numCache>
            </c:numRef>
          </c:xVal>
          <c:yVal>
            <c:numRef>
              <c:f>'NP Sum Analysis'!$DA$7:$DA$18</c:f>
              <c:numCache>
                <c:formatCode>General</c:formatCode>
                <c:ptCount val="12"/>
                <c:pt idx="0">
                  <c:v>0</c:v>
                </c:pt>
                <c:pt idx="1">
                  <c:v>3</c:v>
                </c:pt>
                <c:pt idx="2">
                  <c:v>7</c:v>
                </c:pt>
                <c:pt idx="3">
                  <c:v>10</c:v>
                </c:pt>
                <c:pt idx="4">
                  <c:v>13</c:v>
                </c:pt>
                <c:pt idx="5">
                  <c:v>16</c:v>
                </c:pt>
                <c:pt idx="6">
                  <c:v>20</c:v>
                </c:pt>
                <c:pt idx="7">
                  <c:v>23</c:v>
                </c:pt>
                <c:pt idx="8">
                  <c:v>26</c:v>
                </c:pt>
                <c:pt idx="9">
                  <c:v>30</c:v>
                </c:pt>
                <c:pt idx="10">
                  <c:v>33</c:v>
                </c:pt>
                <c:pt idx="11">
                  <c:v>34</c:v>
                </c:pt>
              </c:numCache>
            </c:numRef>
          </c:yVal>
          <c:smooth val="1"/>
          <c:extLst>
            <c:ext xmlns:c16="http://schemas.microsoft.com/office/drawing/2014/chart" uri="{C3380CC4-5D6E-409C-BE32-E72D297353CC}">
              <c16:uniqueId val="{00000006-985C-42A8-86FB-EB11AAA72D84}"/>
            </c:ext>
          </c:extLst>
        </c:ser>
        <c:ser>
          <c:idx val="7"/>
          <c:order val="7"/>
          <c:tx>
            <c:v>North Pipe Oct</c:v>
          </c:tx>
          <c:spPr>
            <a:ln w="19050" cap="rnd">
              <a:solidFill>
                <a:schemeClr val="accent2">
                  <a:lumMod val="60000"/>
                </a:schemeClr>
              </a:solidFill>
              <a:round/>
            </a:ln>
            <a:effectLst/>
          </c:spPr>
          <c:marker>
            <c:symbol val="triangle"/>
            <c:size val="5"/>
            <c:spPr>
              <a:solidFill>
                <a:schemeClr val="accent2">
                  <a:lumMod val="60000"/>
                </a:schemeClr>
              </a:solidFill>
              <a:ln w="9525">
                <a:solidFill>
                  <a:schemeClr val="accent2">
                    <a:lumMod val="60000"/>
                  </a:schemeClr>
                </a:solidFill>
              </a:ln>
              <a:effectLst/>
            </c:spPr>
          </c:marker>
          <c:xVal>
            <c:numRef>
              <c:f>'NP Sum Analysis'!$DE$7:$DE$18</c:f>
              <c:numCache>
                <c:formatCode>General</c:formatCode>
                <c:ptCount val="12"/>
                <c:pt idx="0">
                  <c:v>7.2</c:v>
                </c:pt>
                <c:pt idx="1">
                  <c:v>7.12</c:v>
                </c:pt>
                <c:pt idx="2">
                  <c:v>7.09</c:v>
                </c:pt>
                <c:pt idx="3">
                  <c:v>7.09</c:v>
                </c:pt>
                <c:pt idx="4">
                  <c:v>6.73</c:v>
                </c:pt>
                <c:pt idx="5">
                  <c:v>6.35</c:v>
                </c:pt>
                <c:pt idx="6">
                  <c:v>0.38</c:v>
                </c:pt>
                <c:pt idx="7">
                  <c:v>0.31</c:v>
                </c:pt>
                <c:pt idx="8">
                  <c:v>0.18</c:v>
                </c:pt>
                <c:pt idx="9">
                  <c:v>0.14000000000000001</c:v>
                </c:pt>
                <c:pt idx="10">
                  <c:v>0.11</c:v>
                </c:pt>
                <c:pt idx="11">
                  <c:v>0.1</c:v>
                </c:pt>
              </c:numCache>
            </c:numRef>
          </c:xVal>
          <c:yVal>
            <c:numRef>
              <c:f>'NP Sum Analysis'!$DA$7:$DA$18</c:f>
              <c:numCache>
                <c:formatCode>General</c:formatCode>
                <c:ptCount val="12"/>
                <c:pt idx="0">
                  <c:v>0</c:v>
                </c:pt>
                <c:pt idx="1">
                  <c:v>3</c:v>
                </c:pt>
                <c:pt idx="2">
                  <c:v>7</c:v>
                </c:pt>
                <c:pt idx="3">
                  <c:v>10</c:v>
                </c:pt>
                <c:pt idx="4">
                  <c:v>13</c:v>
                </c:pt>
                <c:pt idx="5">
                  <c:v>16</c:v>
                </c:pt>
                <c:pt idx="6">
                  <c:v>20</c:v>
                </c:pt>
                <c:pt idx="7">
                  <c:v>23</c:v>
                </c:pt>
                <c:pt idx="8">
                  <c:v>26</c:v>
                </c:pt>
                <c:pt idx="9">
                  <c:v>30</c:v>
                </c:pt>
                <c:pt idx="10">
                  <c:v>33</c:v>
                </c:pt>
                <c:pt idx="11">
                  <c:v>34</c:v>
                </c:pt>
              </c:numCache>
            </c:numRef>
          </c:yVal>
          <c:smooth val="1"/>
          <c:extLst>
            <c:ext xmlns:c16="http://schemas.microsoft.com/office/drawing/2014/chart" uri="{C3380CC4-5D6E-409C-BE32-E72D297353CC}">
              <c16:uniqueId val="{00000007-985C-42A8-86FB-EB11AAA72D84}"/>
            </c:ext>
          </c:extLst>
        </c:ser>
        <c:dLbls>
          <c:showLegendKey val="0"/>
          <c:showVal val="0"/>
          <c:showCatName val="0"/>
          <c:showSerName val="0"/>
          <c:showPercent val="0"/>
          <c:showBubbleSize val="0"/>
        </c:dLbls>
        <c:axId val="136483135"/>
        <c:axId val="136486047"/>
      </c:scatterChart>
      <c:valAx>
        <c:axId val="136483135"/>
        <c:scaling>
          <c:orientation val="minMax"/>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Dissolved Oxygen (mg/L)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6486047"/>
        <c:crosses val="autoZero"/>
        <c:crossBetween val="midCat"/>
      </c:valAx>
      <c:valAx>
        <c:axId val="136486047"/>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Depth (ft)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6483135"/>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0.46805</cdr:x>
      <cdr:y>0.75162</cdr:y>
    </cdr:from>
    <cdr:to>
      <cdr:x>0.60996</cdr:x>
      <cdr:y>0.82794</cdr:y>
    </cdr:to>
    <cdr:sp macro="" textlink="">
      <cdr:nvSpPr>
        <cdr:cNvPr id="4" name="TextBox 3">
          <a:extLst xmlns:a="http://schemas.openxmlformats.org/drawingml/2006/main">
            <a:ext uri="{FF2B5EF4-FFF2-40B4-BE49-F238E27FC236}">
              <a16:creationId xmlns:a16="http://schemas.microsoft.com/office/drawing/2014/main" id="{B6782FF0-B401-4B94-A28C-851E99AA2FE3}"/>
            </a:ext>
          </a:extLst>
        </cdr:cNvPr>
        <cdr:cNvSpPr txBox="1"/>
      </cdr:nvSpPr>
      <cdr:spPr>
        <a:xfrm xmlns:a="http://schemas.openxmlformats.org/drawingml/2006/main">
          <a:off x="4054231" y="4729936"/>
          <a:ext cx="1229295" cy="480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rtl="0" eaLnBrk="1" fontAlgn="auto" latinLnBrk="0" hangingPunct="1">
            <a:lnSpc>
              <a:spcPct val="100000"/>
            </a:lnSpc>
            <a:spcBef>
              <a:spcPts val="0"/>
            </a:spcBef>
            <a:spcAft>
              <a:spcPts val="0"/>
            </a:spcAft>
            <a:buClrTx/>
            <a:buSzTx/>
            <a:buFontTx/>
            <a:buNone/>
            <a:tabLst/>
            <a:defRPr/>
          </a:pPr>
          <a:r>
            <a:rPr lang="el-GR" sz="1800" b="1" i="0" baseline="0">
              <a:effectLst/>
              <a:latin typeface="+mn-lt"/>
              <a:ea typeface="+mn-ea"/>
              <a:cs typeface="+mn-cs"/>
            </a:rPr>
            <a:t>δ</a:t>
          </a:r>
          <a:r>
            <a:rPr lang="el-GR" sz="1800" b="1" i="0" baseline="30000">
              <a:effectLst/>
              <a:latin typeface="+mn-lt"/>
              <a:ea typeface="+mn-ea"/>
              <a:cs typeface="+mn-cs"/>
            </a:rPr>
            <a:t>18</a:t>
          </a:r>
          <a:r>
            <a:rPr lang="en-US" sz="1800" b="1" i="0" baseline="0">
              <a:effectLst/>
              <a:latin typeface="+mn-lt"/>
              <a:ea typeface="+mn-ea"/>
              <a:cs typeface="+mn-cs"/>
            </a:rPr>
            <a:t>O ‰ </a:t>
          </a:r>
          <a:endParaRPr lang="el-GR" sz="1800" b="1" i="0" baseline="0">
            <a:effectLst/>
            <a:latin typeface="+mn-lt"/>
            <a:ea typeface="+mn-ea"/>
            <a:cs typeface="+mn-cs"/>
          </a:endParaRPr>
        </a:p>
        <a:p xmlns:a="http://schemas.openxmlformats.org/drawingml/2006/main">
          <a:endParaRPr lang="en-US" sz="1100"/>
        </a:p>
      </cdr:txBody>
    </cdr:sp>
  </cdr:relSizeAnchor>
  <cdr:relSizeAnchor xmlns:cdr="http://schemas.openxmlformats.org/drawingml/2006/chartDrawing">
    <cdr:from>
      <cdr:x>0.04605</cdr:x>
      <cdr:y>0.43596</cdr:y>
    </cdr:from>
    <cdr:to>
      <cdr:x>0.10338</cdr:x>
      <cdr:y>0.55498</cdr:y>
    </cdr:to>
    <cdr:sp macro="" textlink="">
      <cdr:nvSpPr>
        <cdr:cNvPr id="5" name="TextBox 4">
          <a:extLst xmlns:a="http://schemas.openxmlformats.org/drawingml/2006/main">
            <a:ext uri="{FF2B5EF4-FFF2-40B4-BE49-F238E27FC236}">
              <a16:creationId xmlns:a16="http://schemas.microsoft.com/office/drawing/2014/main" id="{CF5D8C17-A732-48F8-A6C1-60A60634929C}"/>
            </a:ext>
          </a:extLst>
        </cdr:cNvPr>
        <cdr:cNvSpPr txBox="1"/>
      </cdr:nvSpPr>
      <cdr:spPr>
        <a:xfrm xmlns:a="http://schemas.openxmlformats.org/drawingml/2006/main" rot="16200000">
          <a:off x="272725" y="2869711"/>
          <a:ext cx="748974" cy="4966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rtl="0" eaLnBrk="1" fontAlgn="auto" latinLnBrk="0" hangingPunct="1">
            <a:lnSpc>
              <a:spcPct val="100000"/>
            </a:lnSpc>
            <a:spcBef>
              <a:spcPts val="0"/>
            </a:spcBef>
            <a:spcAft>
              <a:spcPts val="0"/>
            </a:spcAft>
            <a:buClrTx/>
            <a:buSzTx/>
            <a:buFontTx/>
            <a:buNone/>
            <a:tabLst/>
            <a:defRPr/>
          </a:pPr>
          <a:r>
            <a:rPr lang="el-GR" sz="1800" b="1" i="0" baseline="0">
              <a:effectLst/>
              <a:latin typeface="+mn-lt"/>
              <a:ea typeface="+mn-ea"/>
              <a:cs typeface="+mn-cs"/>
            </a:rPr>
            <a:t>δ</a:t>
          </a:r>
          <a:r>
            <a:rPr lang="en-US" sz="1800" b="1" i="0" baseline="0">
              <a:effectLst/>
              <a:latin typeface="+mn-lt"/>
              <a:ea typeface="+mn-ea"/>
              <a:cs typeface="+mn-cs"/>
            </a:rPr>
            <a:t>D ‰</a:t>
          </a:r>
          <a:r>
            <a:rPr lang="en-US" sz="1800" b="0" i="0" baseline="0">
              <a:effectLst/>
              <a:latin typeface="+mn-lt"/>
              <a:ea typeface="+mn-ea"/>
              <a:cs typeface="+mn-cs"/>
            </a:rPr>
            <a:t> </a:t>
          </a:r>
          <a:endParaRPr lang="el-GR" sz="1800" b="1" i="0" baseline="0">
            <a:effectLst/>
            <a:latin typeface="+mn-lt"/>
            <a:ea typeface="+mn-ea"/>
            <a:cs typeface="+mn-cs"/>
          </a:endParaRPr>
        </a:p>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0.47136</cdr:x>
      <cdr:y>0.35058</cdr:y>
    </cdr:from>
    <cdr:to>
      <cdr:x>0.54648</cdr:x>
      <cdr:y>0.44243</cdr:y>
    </cdr:to>
    <cdr:sp macro="" textlink="">
      <cdr:nvSpPr>
        <cdr:cNvPr id="5" name="Oval 4">
          <a:extLst xmlns:a="http://schemas.openxmlformats.org/drawingml/2006/main">
            <a:ext uri="{FF2B5EF4-FFF2-40B4-BE49-F238E27FC236}">
              <a16:creationId xmlns:a16="http://schemas.microsoft.com/office/drawing/2014/main" id="{B24C6676-CBCE-4236-BF54-AEA6CD151387}"/>
            </a:ext>
          </a:extLst>
        </cdr:cNvPr>
        <cdr:cNvSpPr/>
      </cdr:nvSpPr>
      <cdr:spPr>
        <a:xfrm xmlns:a="http://schemas.openxmlformats.org/drawingml/2006/main">
          <a:off x="4086795" y="2206218"/>
          <a:ext cx="651283" cy="578012"/>
        </a:xfrm>
        <a:prstGeom xmlns:a="http://schemas.openxmlformats.org/drawingml/2006/main" prst="ellipse">
          <a:avLst/>
        </a:prstGeom>
        <a:noFill xmlns:a="http://schemas.openxmlformats.org/drawingml/2006/mai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zg7zcHpBW1DlWob1EA0xprbJow==">AMUW2mUjdqQS4h4HhLg9ZDQijA7XSueAnFjYP+T3IdpBlUa4aWqS9w0sjjDwnQPZNNbz4HvCi3V44TWj5xzgBCLqCxjZagkS18pm7Hp51r3mND2Ww7nUBMs=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5976</Words>
  <Characters>34064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Ludtke</dc:creator>
  <cp:lastModifiedBy>Timothy Larson</cp:lastModifiedBy>
  <cp:revision>2</cp:revision>
  <dcterms:created xsi:type="dcterms:W3CDTF">2022-01-15T01:49:00Z</dcterms:created>
  <dcterms:modified xsi:type="dcterms:W3CDTF">2022-01-15T01:49:00Z</dcterms:modified>
</cp:coreProperties>
</file>