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7F0" w:rsidRPr="002A07F0" w:rsidRDefault="003218C3" w:rsidP="002A07F0">
      <w:pPr>
        <w:jc w:val="center"/>
        <w:rPr>
          <w:sz w:val="32"/>
          <w:szCs w:val="32"/>
        </w:rPr>
      </w:pPr>
      <w:bookmarkStart w:id="0" w:name="_GoBack"/>
      <w:bookmarkEnd w:id="0"/>
      <w:r w:rsidRPr="002A07F0">
        <w:rPr>
          <w:sz w:val="32"/>
          <w:szCs w:val="32"/>
        </w:rPr>
        <w:t>A 2014 Survey</w:t>
      </w:r>
    </w:p>
    <w:p w:rsidR="002A07F0" w:rsidRDefault="002A07F0" w:rsidP="002A07F0">
      <w:pPr>
        <w:jc w:val="center"/>
      </w:pPr>
    </w:p>
    <w:p w:rsidR="002A07F0" w:rsidRDefault="003218C3" w:rsidP="002A07F0">
      <w:pPr>
        <w:jc w:val="center"/>
      </w:pPr>
      <w:proofErr w:type="gramStart"/>
      <w:r>
        <w:t>of</w:t>
      </w:r>
      <w:proofErr w:type="gramEnd"/>
      <w:r>
        <w:t xml:space="preserve"> the</w:t>
      </w:r>
    </w:p>
    <w:p w:rsidR="002A07F0" w:rsidRDefault="002A07F0" w:rsidP="002A07F0">
      <w:pPr>
        <w:jc w:val="center"/>
      </w:pPr>
    </w:p>
    <w:p w:rsidR="002A07F0" w:rsidRPr="002A07F0" w:rsidRDefault="003218C3" w:rsidP="002A07F0">
      <w:pPr>
        <w:jc w:val="center"/>
        <w:rPr>
          <w:sz w:val="40"/>
          <w:szCs w:val="40"/>
        </w:rPr>
      </w:pPr>
      <w:r w:rsidRPr="002A07F0">
        <w:rPr>
          <w:sz w:val="40"/>
          <w:szCs w:val="40"/>
        </w:rPr>
        <w:t>Sugar River</w:t>
      </w:r>
      <w:r w:rsidR="00966209">
        <w:rPr>
          <w:sz w:val="40"/>
          <w:szCs w:val="40"/>
        </w:rPr>
        <w:t xml:space="preserve"> </w:t>
      </w:r>
      <w:proofErr w:type="spellStart"/>
      <w:r w:rsidR="00966209">
        <w:rPr>
          <w:sz w:val="40"/>
          <w:szCs w:val="40"/>
        </w:rPr>
        <w:t>Mainstem</w:t>
      </w:r>
      <w:proofErr w:type="spellEnd"/>
    </w:p>
    <w:p w:rsidR="002A07F0" w:rsidRDefault="002A07F0" w:rsidP="002A07F0">
      <w:pPr>
        <w:jc w:val="center"/>
      </w:pPr>
    </w:p>
    <w:p w:rsidR="002A07F0" w:rsidRDefault="003218C3" w:rsidP="002A07F0">
      <w:pPr>
        <w:jc w:val="center"/>
      </w:pPr>
      <w:r>
        <w:t>(WBIC = 875300)</w:t>
      </w:r>
    </w:p>
    <w:p w:rsidR="002A07F0" w:rsidRDefault="002A07F0" w:rsidP="002A07F0">
      <w:pPr>
        <w:jc w:val="center"/>
      </w:pPr>
    </w:p>
    <w:p w:rsidR="003218C3" w:rsidRDefault="003218C3" w:rsidP="002A07F0">
      <w:pPr>
        <w:jc w:val="center"/>
      </w:pPr>
      <w:proofErr w:type="gramStart"/>
      <w:r>
        <w:t>Green and Rock Counties.</w:t>
      </w:r>
      <w:proofErr w:type="gramEnd"/>
    </w:p>
    <w:p w:rsidR="003218C3" w:rsidRDefault="003218C3" w:rsidP="002A07F0">
      <w:pPr>
        <w:jc w:val="center"/>
      </w:pPr>
    </w:p>
    <w:p w:rsidR="003218C3" w:rsidRDefault="003218C3" w:rsidP="002A07F0">
      <w:pPr>
        <w:jc w:val="center"/>
      </w:pPr>
      <w:r>
        <w:t>Project SCR_13_CMP14</w:t>
      </w:r>
    </w:p>
    <w:p w:rsidR="003218C3" w:rsidRDefault="003218C3" w:rsidP="002A07F0">
      <w:pPr>
        <w:jc w:val="center"/>
      </w:pPr>
    </w:p>
    <w:p w:rsidR="003218C3" w:rsidRDefault="00160B76" w:rsidP="002A07F0">
      <w:pPr>
        <w:jc w:val="center"/>
      </w:pPr>
      <w:r>
        <w:rPr>
          <w:noProof/>
        </w:rPr>
        <w:drawing>
          <wp:inline distT="0" distB="0" distL="0" distR="0">
            <wp:extent cx="6108700" cy="4581525"/>
            <wp:effectExtent l="0" t="0" r="6350" b="9525"/>
            <wp:docPr id="3" name="Picture 3" descr="C:\Users\amrhej\Pictures\Sugar River Mainstem (2014)\Beloit-Newark Rd\DSC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rhej\Pictures\Sugar River Mainstem (2014)\Beloit-Newark Rd\DSC0039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1991" cy="4583993"/>
                    </a:xfrm>
                    <a:prstGeom prst="rect">
                      <a:avLst/>
                    </a:prstGeom>
                    <a:noFill/>
                    <a:ln>
                      <a:noFill/>
                    </a:ln>
                  </pic:spPr>
                </pic:pic>
              </a:graphicData>
            </a:graphic>
          </wp:inline>
        </w:drawing>
      </w:r>
    </w:p>
    <w:p w:rsidR="00160B76" w:rsidRDefault="004729C4" w:rsidP="004729C4">
      <w:pPr>
        <w:rPr>
          <w:sz w:val="16"/>
          <w:szCs w:val="16"/>
        </w:rPr>
      </w:pPr>
      <w:r w:rsidRPr="004729C4">
        <w:rPr>
          <w:sz w:val="16"/>
          <w:szCs w:val="16"/>
        </w:rPr>
        <w:t>Sugar River upstream of</w:t>
      </w:r>
      <w:r>
        <w:rPr>
          <w:sz w:val="16"/>
          <w:szCs w:val="16"/>
        </w:rPr>
        <w:t xml:space="preserve"> Beloit-Newark Rd</w:t>
      </w:r>
    </w:p>
    <w:p w:rsidR="004729C4" w:rsidRPr="004729C4" w:rsidRDefault="004729C4" w:rsidP="004729C4">
      <w:pPr>
        <w:rPr>
          <w:sz w:val="16"/>
          <w:szCs w:val="16"/>
        </w:rPr>
      </w:pPr>
    </w:p>
    <w:p w:rsidR="003218C3" w:rsidRDefault="003218C3" w:rsidP="002A07F0">
      <w:pPr>
        <w:jc w:val="center"/>
      </w:pPr>
      <w:r>
        <w:t>By James Amrhein and Michael Sorge</w:t>
      </w:r>
    </w:p>
    <w:p w:rsidR="00160B76" w:rsidRDefault="00160B76" w:rsidP="002A07F0">
      <w:pPr>
        <w:jc w:val="center"/>
      </w:pPr>
    </w:p>
    <w:p w:rsidR="003218C3" w:rsidRDefault="003218C3" w:rsidP="002A07F0">
      <w:pPr>
        <w:jc w:val="center"/>
      </w:pPr>
      <w:r>
        <w:t>Water Quality Biologists</w:t>
      </w:r>
    </w:p>
    <w:p w:rsidR="001B080E" w:rsidRDefault="003218C3" w:rsidP="002A07F0">
      <w:pPr>
        <w:jc w:val="center"/>
      </w:pPr>
      <w:r>
        <w:t>Water District - South</w:t>
      </w:r>
    </w:p>
    <w:p w:rsidR="001B080E" w:rsidRDefault="001B080E" w:rsidP="002A07F0">
      <w:pPr>
        <w:jc w:val="center"/>
      </w:pPr>
    </w:p>
    <w:p w:rsidR="003218C3" w:rsidRDefault="00D6341D" w:rsidP="002A07F0">
      <w:pPr>
        <w:jc w:val="center"/>
      </w:pPr>
      <w:r>
        <w:t>March</w:t>
      </w:r>
      <w:r w:rsidR="001B080E">
        <w:t>, 2015</w:t>
      </w:r>
      <w:r w:rsidR="003218C3">
        <w:br w:type="page"/>
      </w:r>
    </w:p>
    <w:p w:rsidR="00AA2CDB" w:rsidRDefault="00E41BBB">
      <w:r>
        <w:lastRenderedPageBreak/>
        <w:t xml:space="preserve">The Sugar River has its origin in the groundwater fed springs in the rolling landscape east of the village of Mount </w:t>
      </w:r>
      <w:proofErr w:type="spellStart"/>
      <w:r>
        <w:t>Horeb</w:t>
      </w:r>
      <w:proofErr w:type="spellEnd"/>
      <w:r w:rsidR="00206F6E">
        <w:t>, Wisconsin</w:t>
      </w:r>
      <w:r>
        <w:t xml:space="preserve"> and flows </w:t>
      </w:r>
      <w:r w:rsidR="00777EF3">
        <w:t xml:space="preserve">91 miles </w:t>
      </w:r>
      <w:r>
        <w:t>southeasterly until it</w:t>
      </w:r>
      <w:r w:rsidR="009C4B3D">
        <w:t xml:space="preserve"> crosses the Wisconsin-Illinois border and joins</w:t>
      </w:r>
      <w:r>
        <w:t xml:space="preserve"> the Pecatonica River between </w:t>
      </w:r>
      <w:proofErr w:type="spellStart"/>
      <w:r>
        <w:t>Shirland</w:t>
      </w:r>
      <w:proofErr w:type="spellEnd"/>
      <w:r>
        <w:t xml:space="preserve"> and Harrison, Illinois.  </w:t>
      </w:r>
    </w:p>
    <w:p w:rsidR="00E41BBB" w:rsidRDefault="00E41BBB"/>
    <w:p w:rsidR="00E41BBB" w:rsidRDefault="00E41BBB">
      <w:r>
        <w:t>The entire</w:t>
      </w:r>
      <w:r w:rsidR="009C4B3D">
        <w:t xml:space="preserve"> 81 mile</w:t>
      </w:r>
      <w:r>
        <w:t xml:space="preserve"> length of the Sugar River within the state’s boundary is designated as an Exceptional Resource Water (ERW).  The upper </w:t>
      </w:r>
      <w:r w:rsidR="004E160F">
        <w:t>20</w:t>
      </w:r>
      <w:r>
        <w:t xml:space="preserve"> miles of the river were recently designated as Class II trout waters by the fisheries management bureau.  The water resources designation continues to be "warm water sport fish” for the entire length of stream.  </w:t>
      </w:r>
    </w:p>
    <w:p w:rsidR="00E41BBB" w:rsidRDefault="00E41BBB"/>
    <w:p w:rsidR="00E41BBB" w:rsidRDefault="00E41BBB">
      <w:r>
        <w:t xml:space="preserve">The river has </w:t>
      </w:r>
      <w:r w:rsidR="00EC41EA">
        <w:t>3</w:t>
      </w:r>
      <w:r>
        <w:t xml:space="preserve"> low-head dams along its length – at Belleville, Albany, and Brodhead.  </w:t>
      </w:r>
      <w:r w:rsidR="008F3CB0">
        <w:t xml:space="preserve">These same municipalities also have waste water discharges directly to the river.  </w:t>
      </w:r>
      <w:r>
        <w:t xml:space="preserve">While most of the stream flows through agricultural land, the lower </w:t>
      </w:r>
      <w:r w:rsidR="00AC69EE">
        <w:t>10</w:t>
      </w:r>
      <w:r>
        <w:t xml:space="preserve"> miles in Wisconsin flows through the Avon Bottoms State Wildlife Area.  There is also a small </w:t>
      </w:r>
      <w:r w:rsidR="00AC69EE">
        <w:t>1</w:t>
      </w:r>
      <w:r>
        <w:t xml:space="preserve"> mile section that flows through the Albany State Wildlife Area.  The flood</w:t>
      </w:r>
      <w:r w:rsidR="00236A1F">
        <w:t xml:space="preserve"> </w:t>
      </w:r>
      <w:r>
        <w:t>zone of the Sugar River provides a</w:t>
      </w:r>
      <w:r w:rsidR="00966209">
        <w:t xml:space="preserve"> </w:t>
      </w:r>
      <w:r w:rsidR="00C56E2D">
        <w:t>de facto</w:t>
      </w:r>
      <w:r>
        <w:t xml:space="preserve"> buffer along many sections of the river</w:t>
      </w:r>
      <w:r w:rsidR="007A02E6">
        <w:t>.  This</w:t>
      </w:r>
      <w:r w:rsidR="00777EF3">
        <w:t xml:space="preserve"> corridor is a mixture </w:t>
      </w:r>
      <w:r w:rsidR="00512C03">
        <w:t>of floodplain</w:t>
      </w:r>
      <w:r w:rsidR="00AB4762">
        <w:t xml:space="preserve"> forest</w:t>
      </w:r>
      <w:r w:rsidR="00777EF3">
        <w:t xml:space="preserve"> and meadow and</w:t>
      </w:r>
      <w:r w:rsidR="007A02E6">
        <w:t xml:space="preserve"> is home to many wildlife species</w:t>
      </w:r>
      <w:r w:rsidR="004E160F">
        <w:t>,</w:t>
      </w:r>
      <w:r w:rsidR="007A02E6">
        <w:t xml:space="preserve"> but also offers a source of woody debris as habitat when it falls into the river.</w:t>
      </w:r>
    </w:p>
    <w:p w:rsidR="00FB6934" w:rsidRDefault="00FB6934"/>
    <w:p w:rsidR="009C4B3D" w:rsidRDefault="009D536A">
      <w:r>
        <w:t xml:space="preserve">The </w:t>
      </w:r>
      <w:r w:rsidR="00FB6934">
        <w:t>department</w:t>
      </w:r>
      <w:r>
        <w:t>’s current</w:t>
      </w:r>
      <w:r w:rsidR="00FB6934">
        <w:t xml:space="preserve"> monitoring of lotic systems generally focuses on </w:t>
      </w:r>
      <w:proofErr w:type="spellStart"/>
      <w:r w:rsidR="00FB6934">
        <w:t>wadable</w:t>
      </w:r>
      <w:proofErr w:type="spellEnd"/>
      <w:r w:rsidR="00FB6934">
        <w:t xml:space="preserve"> resources within smaller management units (HUC 10 or 12).  As such, larger systems with non-</w:t>
      </w:r>
      <w:proofErr w:type="spellStart"/>
      <w:r w:rsidR="00FB6934">
        <w:t>wadable</w:t>
      </w:r>
      <w:proofErr w:type="spellEnd"/>
      <w:r w:rsidR="00FB6934">
        <w:t xml:space="preserve"> sections tend to be overlooked, but can be a major indicator of ecosystem health on a much larger scale - HUC 8</w:t>
      </w:r>
      <w:r w:rsidR="00EC41EA">
        <w:t xml:space="preserve"> or “basins”</w:t>
      </w:r>
      <w:r w:rsidR="00FB6934">
        <w:t>.  These larger systems also provide</w:t>
      </w:r>
      <w:r w:rsidR="00236A1F">
        <w:t xml:space="preserve"> the</w:t>
      </w:r>
      <w:r w:rsidR="00FB6934">
        <w:t xml:space="preserve"> </w:t>
      </w:r>
      <w:r w:rsidR="00236A1F">
        <w:t>habitat and forage for</w:t>
      </w:r>
      <w:r w:rsidR="00FB6934">
        <w:t xml:space="preserve"> </w:t>
      </w:r>
      <w:r w:rsidR="00236A1F">
        <w:t xml:space="preserve">larger fish </w:t>
      </w:r>
      <w:r w:rsidR="00FB6934">
        <w:t>species</w:t>
      </w:r>
      <w:r w:rsidR="00236A1F">
        <w:t>,</w:t>
      </w:r>
      <w:r w:rsidR="00FB6934">
        <w:t xml:space="preserve"> as well as </w:t>
      </w:r>
      <w:r w:rsidR="00236A1F">
        <w:t xml:space="preserve">serving as a source of species recruitment to tributaries, a conduit for fish movement, and a </w:t>
      </w:r>
      <w:r w:rsidR="00FB6934">
        <w:t xml:space="preserve">refuge for </w:t>
      </w:r>
      <w:r w:rsidR="00236A1F">
        <w:t xml:space="preserve">certain species </w:t>
      </w:r>
      <w:r w:rsidR="00FB6934">
        <w:t xml:space="preserve">during winter and/or </w:t>
      </w:r>
      <w:r w:rsidR="00236A1F">
        <w:t>low water years</w:t>
      </w:r>
      <w:r w:rsidR="00FB6934">
        <w:t>.</w:t>
      </w:r>
      <w:r w:rsidR="00236A1F">
        <w:t xml:space="preserve"> </w:t>
      </w:r>
      <w:r w:rsidR="00AB4762">
        <w:t xml:space="preserve">Several rare species have also been reported in the Sugar River </w:t>
      </w:r>
      <w:proofErr w:type="spellStart"/>
      <w:r w:rsidR="00AB4762">
        <w:t>mainstem</w:t>
      </w:r>
      <w:proofErr w:type="spellEnd"/>
      <w:r w:rsidR="00AB4762">
        <w:t xml:space="preserve"> including the gravel chub, silver chub, pallid shiner, </w:t>
      </w:r>
      <w:proofErr w:type="spellStart"/>
      <w:r w:rsidR="00AB4762">
        <w:t>redfin</w:t>
      </w:r>
      <w:proofErr w:type="spellEnd"/>
      <w:r w:rsidR="00AB4762">
        <w:t xml:space="preserve"> shiner and river redhorse.</w:t>
      </w:r>
    </w:p>
    <w:p w:rsidR="00AB4762" w:rsidRDefault="00AB4762"/>
    <w:p w:rsidR="009C4B3D" w:rsidRPr="00CA4D52" w:rsidRDefault="009C4B3D">
      <w:pPr>
        <w:rPr>
          <w:i/>
        </w:rPr>
      </w:pPr>
      <w:r w:rsidRPr="00CA4D52">
        <w:rPr>
          <w:i/>
        </w:rPr>
        <w:t>Methods</w:t>
      </w:r>
    </w:p>
    <w:p w:rsidR="008F3CB0" w:rsidRDefault="008F3CB0">
      <w:r>
        <w:t>The Wisconsin Streams Model (Lyons, 20</w:t>
      </w:r>
      <w:r w:rsidR="004E160F">
        <w:t>08</w:t>
      </w:r>
      <w:r>
        <w:t xml:space="preserve">) shows the Sugar River to be a </w:t>
      </w:r>
      <w:r w:rsidR="009C4B3D">
        <w:t xml:space="preserve">cool-warm </w:t>
      </w:r>
      <w:proofErr w:type="spellStart"/>
      <w:r w:rsidR="009C4B3D">
        <w:t>mainstem</w:t>
      </w:r>
      <w:proofErr w:type="spellEnd"/>
      <w:r w:rsidR="009C4B3D">
        <w:t xml:space="preserve"> from Belleville to Albany, a warm </w:t>
      </w:r>
      <w:proofErr w:type="spellStart"/>
      <w:r w:rsidR="009C4B3D">
        <w:t>mainstem</w:t>
      </w:r>
      <w:proofErr w:type="spellEnd"/>
      <w:r w:rsidR="009C4B3D">
        <w:t xml:space="preserve"> from Albany to Brodhead, and a large river downstream of Brodhead (Figure </w:t>
      </w:r>
      <w:r w:rsidR="00966209">
        <w:t>1</w:t>
      </w:r>
      <w:r w:rsidR="009C4B3D">
        <w:t xml:space="preserve">).  </w:t>
      </w:r>
      <w:r>
        <w:t xml:space="preserve">The </w:t>
      </w:r>
      <w:r w:rsidR="00E676C7">
        <w:t>50</w:t>
      </w:r>
      <w:r w:rsidR="00C212E9">
        <w:t xml:space="preserve"> mile section of </w:t>
      </w:r>
      <w:r>
        <w:t xml:space="preserve">Sugar River below the dam at Belleville to the Illinois border contains a mixture of </w:t>
      </w:r>
      <w:proofErr w:type="spellStart"/>
      <w:r>
        <w:t>wadable</w:t>
      </w:r>
      <w:proofErr w:type="spellEnd"/>
      <w:r>
        <w:t xml:space="preserve"> and non-</w:t>
      </w:r>
      <w:proofErr w:type="spellStart"/>
      <w:r>
        <w:t>wadable</w:t>
      </w:r>
      <w:proofErr w:type="spellEnd"/>
      <w:r>
        <w:t xml:space="preserve"> sections.  As such, it was decided the most efficient</w:t>
      </w:r>
      <w:r w:rsidR="009C4B3D">
        <w:t xml:space="preserve"> and consistent</w:t>
      </w:r>
      <w:r>
        <w:t xml:space="preserve"> way to sample the river was to use the sampling protocol developed by Lyons, </w:t>
      </w:r>
      <w:proofErr w:type="gramStart"/>
      <w:r>
        <w:t>et</w:t>
      </w:r>
      <w:proofErr w:type="gramEnd"/>
      <w:r>
        <w:t xml:space="preserve">. </w:t>
      </w:r>
      <w:proofErr w:type="gramStart"/>
      <w:r>
        <w:t>al. (2001) for sampling large</w:t>
      </w:r>
      <w:r w:rsidR="004E160F">
        <w:t>,</w:t>
      </w:r>
      <w:r>
        <w:t xml:space="preserve"> </w:t>
      </w:r>
      <w:proofErr w:type="spellStart"/>
      <w:r>
        <w:t>warmwater</w:t>
      </w:r>
      <w:proofErr w:type="spellEnd"/>
      <w:r>
        <w:t xml:space="preserve"> rivers.</w:t>
      </w:r>
      <w:proofErr w:type="gramEnd"/>
      <w:r>
        <w:t xml:space="preserve">  </w:t>
      </w:r>
    </w:p>
    <w:p w:rsidR="00C212E9" w:rsidRDefault="00C212E9"/>
    <w:p w:rsidR="000B7F5E" w:rsidRDefault="000B5D02">
      <w:r>
        <w:t xml:space="preserve">To summarize, </w:t>
      </w:r>
      <w:r w:rsidR="00C212E9">
        <w:t>a</w:t>
      </w:r>
      <w:r w:rsidR="004177D5">
        <w:t xml:space="preserve"> pulsed-DC</w:t>
      </w:r>
      <w:r w:rsidR="00C212E9">
        <w:t xml:space="preserve"> “miniboom” electrofishing </w:t>
      </w:r>
      <w:r w:rsidR="004177D5">
        <w:t>unit</w:t>
      </w:r>
      <w:r w:rsidR="00C212E9">
        <w:t xml:space="preserve"> was used to sample 1 mile </w:t>
      </w:r>
      <w:proofErr w:type="gramStart"/>
      <w:r w:rsidR="00C212E9">
        <w:t>(1600 meter) stations either upstream or downstream of 8 points along the Sugar River.</w:t>
      </w:r>
      <w:proofErr w:type="gramEnd"/>
      <w:r w:rsidR="00C212E9">
        <w:t xml:space="preserve"> </w:t>
      </w:r>
      <w:r w:rsidR="005E32E7">
        <w:t xml:space="preserve">There was no scientific reason behind these points other than </w:t>
      </w:r>
      <w:r w:rsidR="00E676C7">
        <w:t xml:space="preserve">they </w:t>
      </w:r>
      <w:r w:rsidR="005E32E7">
        <w:t>provided an</w:t>
      </w:r>
      <w:r w:rsidR="00E676C7">
        <w:t xml:space="preserve"> access large enough to launch the shocker boat</w:t>
      </w:r>
      <w:r w:rsidR="00777EF3">
        <w:t>, but c</w:t>
      </w:r>
      <w:r w:rsidR="005E32E7">
        <w:t>oincidentally, these access points provided a fairly uniform sampling distance along the river.  The main gap in the survey points was between CTH EE and CTH F.  This section contains the two impoundments along the river formed by the dams at Albany (Albany Lak</w:t>
      </w:r>
      <w:r w:rsidR="00512C03">
        <w:t>e) and Brodhead (Decatur Lake).</w:t>
      </w:r>
      <w:r w:rsidR="000B7F5E" w:rsidRPr="000B7F5E">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393pt" o:ole="">
            <v:imagedata r:id="rId6" o:title=""/>
          </v:shape>
          <o:OLEObject Type="Embed" ProgID="AcroExch.Document.11" ShapeID="_x0000_i1025" DrawAspect="Content" ObjectID="_1488950676" r:id="rId7"/>
        </w:object>
      </w:r>
    </w:p>
    <w:p w:rsidR="003E124C" w:rsidRDefault="00512C03">
      <w:r>
        <w:t xml:space="preserve">The </w:t>
      </w:r>
      <w:r w:rsidR="00966209">
        <w:t xml:space="preserve">individual </w:t>
      </w:r>
      <w:r w:rsidR="00206F6E">
        <w:t>survey</w:t>
      </w:r>
      <w:r w:rsidR="00966209">
        <w:t>s</w:t>
      </w:r>
      <w:r w:rsidR="00206F6E">
        <w:t xml:space="preserve"> w</w:t>
      </w:r>
      <w:r w:rsidR="00966209">
        <w:t>ere</w:t>
      </w:r>
      <w:r w:rsidR="00206F6E">
        <w:t xml:space="preserve"> always conducted in a downstream direction, with emphasis on sampling main channel border habitats</w:t>
      </w:r>
      <w:r w:rsidR="00EC41EA">
        <w:t xml:space="preserve"> in close proximity to the shoreline and generally consistent with the </w:t>
      </w:r>
      <w:proofErr w:type="spellStart"/>
      <w:r w:rsidR="00EC41EA">
        <w:t>thalweg</w:t>
      </w:r>
      <w:proofErr w:type="spellEnd"/>
      <w:r w:rsidR="00206F6E">
        <w:t xml:space="preserve">. </w:t>
      </w:r>
      <w:r w:rsidR="003E124C">
        <w:t xml:space="preserve"> </w:t>
      </w:r>
    </w:p>
    <w:p w:rsidR="003E124C" w:rsidRDefault="003E124C"/>
    <w:p w:rsidR="000B5D02" w:rsidRDefault="00206F6E">
      <w:r>
        <w:t>The surveys were conducted between August 18</w:t>
      </w:r>
      <w:r w:rsidRPr="00206F6E">
        <w:rPr>
          <w:vertAlign w:val="superscript"/>
        </w:rPr>
        <w:t>th</w:t>
      </w:r>
      <w:r>
        <w:t xml:space="preserve"> and August 22</w:t>
      </w:r>
      <w:r w:rsidRPr="00206F6E">
        <w:rPr>
          <w:vertAlign w:val="superscript"/>
        </w:rPr>
        <w:t>nd</w:t>
      </w:r>
      <w:r>
        <w:t xml:space="preserve">, 2014.  River flows were not considered unusually high or low during that time period when compared to USGS flow gauging stations located in the City of Verona at the upper end of the Sugar River and at </w:t>
      </w:r>
      <w:r w:rsidR="00966209">
        <w:t xml:space="preserve">the Village of </w:t>
      </w:r>
      <w:r>
        <w:t>Brodhead near the lower end of the river.  Gauge data at Brodhead during the week of sampling showed the river to be between 300 and 350 ft</w:t>
      </w:r>
      <w:r w:rsidRPr="00206F6E">
        <w:rPr>
          <w:vertAlign w:val="superscript"/>
        </w:rPr>
        <w:t>3</w:t>
      </w:r>
      <w:r>
        <w:t>/second and approximately 100 to 150 ft</w:t>
      </w:r>
      <w:r w:rsidRPr="00206F6E">
        <w:rPr>
          <w:vertAlign w:val="superscript"/>
        </w:rPr>
        <w:t>3</w:t>
      </w:r>
      <w:r>
        <w:t>/second higher compared</w:t>
      </w:r>
      <w:r w:rsidR="003E124C">
        <w:t xml:space="preserve"> to the 100 year median statisti</w:t>
      </w:r>
      <w:r>
        <w:t>c.</w:t>
      </w:r>
      <w:r w:rsidR="003E124C">
        <w:t xml:space="preserve">  The gauge height at Brodhead varied from </w:t>
      </w:r>
      <w:r w:rsidR="00755313">
        <w:t xml:space="preserve">1.03ft </w:t>
      </w:r>
      <w:r w:rsidR="003E124C">
        <w:t>to 1.29ft during the sampling period</w:t>
      </w:r>
      <w:r w:rsidR="002B1AE7">
        <w:t xml:space="preserve"> (USGS, 2014)</w:t>
      </w:r>
      <w:r w:rsidR="003E124C">
        <w:t>.</w:t>
      </w:r>
      <w:r w:rsidR="000B5D02">
        <w:t xml:space="preserve"> </w:t>
      </w:r>
    </w:p>
    <w:p w:rsidR="000B5D02" w:rsidRDefault="000B5D02"/>
    <w:p w:rsidR="009C4B3D" w:rsidRDefault="005241D9">
      <w:r>
        <w:t xml:space="preserve">During sampling, 1 person stationed in the front of the boat used a 3/16 inch dip net in an attempt to capture all fish observed.  All captured fish were identified.  Game and </w:t>
      </w:r>
      <w:proofErr w:type="spellStart"/>
      <w:r>
        <w:t>panfish</w:t>
      </w:r>
      <w:proofErr w:type="spellEnd"/>
      <w:r>
        <w:t xml:space="preserve"> species were measured and weighed individually</w:t>
      </w:r>
      <w:r w:rsidR="00EC41EA">
        <w:t xml:space="preserve">.  Nongame </w:t>
      </w:r>
      <w:r w:rsidR="00C13937">
        <w:t>fish</w:t>
      </w:r>
      <w:r w:rsidR="00EC41EA">
        <w:t xml:space="preserve"> were </w:t>
      </w:r>
      <w:r w:rsidR="00C13937">
        <w:t xml:space="preserve">counted and </w:t>
      </w:r>
      <w:r w:rsidR="00EC41EA">
        <w:t>weighed in aggregate by species.</w:t>
      </w:r>
      <w:r w:rsidR="00441FCD">
        <w:t xml:space="preserve">  </w:t>
      </w:r>
    </w:p>
    <w:p w:rsidR="00441FCD" w:rsidRDefault="00441FCD"/>
    <w:p w:rsidR="00441FCD" w:rsidRDefault="002E3D81">
      <w:r>
        <w:t>At each site, qualitative notes on average stream width and depth, riparian buffers and land use, evidence of sedimentation, fish cover and potential management options were also recorded.  A qualitative habitat survey (Simonson, et. al., 1994) for streams greater than 10 meters wide was also performed at each site.  It should be noted this qual</w:t>
      </w:r>
      <w:r w:rsidR="000B5D02">
        <w:t>i</w:t>
      </w:r>
      <w:r>
        <w:t xml:space="preserve">tative habitat assessment is more appropriate for </w:t>
      </w:r>
      <w:proofErr w:type="spellStart"/>
      <w:r>
        <w:t>wadable</w:t>
      </w:r>
      <w:proofErr w:type="spellEnd"/>
      <w:r>
        <w:t xml:space="preserve"> streams, but </w:t>
      </w:r>
      <w:r w:rsidR="0023748C">
        <w:t>for the purposes of this study, was</w:t>
      </w:r>
      <w:r>
        <w:t xml:space="preserve"> used for comparison of sites relative to one another.</w:t>
      </w:r>
    </w:p>
    <w:p w:rsidR="000B5D02" w:rsidRDefault="000B5D02"/>
    <w:p w:rsidR="000B5D02" w:rsidRPr="00CA4D52" w:rsidRDefault="000B5D02">
      <w:pPr>
        <w:rPr>
          <w:i/>
        </w:rPr>
      </w:pPr>
      <w:r w:rsidRPr="00CA4D52">
        <w:rPr>
          <w:i/>
        </w:rPr>
        <w:t>Results</w:t>
      </w:r>
    </w:p>
    <w:p w:rsidR="000B5D02" w:rsidRDefault="00FB7765">
      <w:r>
        <w:t xml:space="preserve">A total of 34 fish species were collected during the survey (Table 1), although almost half of them were </w:t>
      </w:r>
      <w:r w:rsidR="00C13937">
        <w:t>captured</w:t>
      </w:r>
      <w:r>
        <w:t xml:space="preserve"> in small numbers of 1-3 individuals.  Many of these were minnow species which are not optimally sampled using this tech</w:t>
      </w:r>
      <w:r w:rsidR="00C13937">
        <w:t>n</w:t>
      </w:r>
      <w:r>
        <w:t xml:space="preserve">ique.  </w:t>
      </w:r>
      <w:proofErr w:type="spellStart"/>
      <w:r>
        <w:t>Shorthead</w:t>
      </w:r>
      <w:proofErr w:type="spellEnd"/>
      <w:r>
        <w:t xml:space="preserve"> redhorse were the most frequently sampled species, followed by golden redhorse and then silver redhorse.  These 3 species, along with common carp and quillback</w:t>
      </w:r>
      <w:r w:rsidR="0023748C">
        <w:t>,</w:t>
      </w:r>
      <w:r>
        <w:t xml:space="preserve"> were observed at all 8 sites. </w:t>
      </w:r>
      <w:r w:rsidR="00AF4DD7">
        <w:t xml:space="preserve">Northern hog suckers and bigmouth buffalo were found at most sites.  </w:t>
      </w:r>
      <w:r>
        <w:t xml:space="preserve">Smallmouth bass were the most prevalent game species encountered, followed by channel catfish and walleye.  </w:t>
      </w:r>
      <w:proofErr w:type="spellStart"/>
      <w:r>
        <w:t>Spotfin</w:t>
      </w:r>
      <w:proofErr w:type="spellEnd"/>
      <w:r>
        <w:t xml:space="preserve"> shiners were the most commonly found minnow species.  Species diversity increased from the upper 4 sites above the Albany dam to the lower 4 sites downstream of the Brodhead dam.  </w:t>
      </w:r>
      <w:r w:rsidR="00C13937">
        <w:t xml:space="preserve">Smallmouth bass and northern pike were the only game species observed upstream of the Albany dam and downstream of the Brodhead dam, whereas all other game species were found </w:t>
      </w:r>
      <w:r w:rsidR="00CA7D7D">
        <w:t xml:space="preserve">only </w:t>
      </w:r>
      <w:r w:rsidR="00C13937">
        <w:t xml:space="preserve">downstream of the Brodhead dam.  </w:t>
      </w:r>
      <w:r w:rsidR="009D536A">
        <w:t xml:space="preserve">Similarly, bowfin, emerald shiner, freshwater drum, gizzard shad, river redhorse, rock bass, </w:t>
      </w:r>
      <w:proofErr w:type="spellStart"/>
      <w:r w:rsidR="009D536A">
        <w:t>slenderhead</w:t>
      </w:r>
      <w:proofErr w:type="spellEnd"/>
      <w:r w:rsidR="009D536A">
        <w:t xml:space="preserve"> darter, </w:t>
      </w:r>
      <w:proofErr w:type="spellStart"/>
      <w:r w:rsidR="009D536A">
        <w:t>suckermouth</w:t>
      </w:r>
      <w:proofErr w:type="spellEnd"/>
      <w:r w:rsidR="009D536A">
        <w:t xml:space="preserve"> minnow, and white bass were only found downstream of the Brodhead dam.</w:t>
      </w:r>
    </w:p>
    <w:p w:rsidR="00B9282C" w:rsidRDefault="00B9282C"/>
    <w:p w:rsidR="00B9282C" w:rsidRDefault="00E550FA">
      <w:r>
        <w:t xml:space="preserve">The large river index of biotic integrity (IBI) developed in Lyons, </w:t>
      </w:r>
      <w:proofErr w:type="gramStart"/>
      <w:r>
        <w:t>et</w:t>
      </w:r>
      <w:proofErr w:type="gramEnd"/>
      <w:r>
        <w:t>. al. (2001) was calculated for all sites</w:t>
      </w:r>
      <w:r w:rsidR="001C1A50">
        <w:t xml:space="preserve"> (Table 2)</w:t>
      </w:r>
      <w:r>
        <w:t xml:space="preserve">. </w:t>
      </w:r>
      <w:r w:rsidR="00B9282C">
        <w:t xml:space="preserve">Total biomass ranged from </w:t>
      </w:r>
      <w:r w:rsidR="009A5554">
        <w:t>approximately 60 kg at CTH X to 137 kg at CTH F (</w:t>
      </w:r>
      <w:r w:rsidR="00755313">
        <w:t xml:space="preserve">See </w:t>
      </w:r>
      <w:r w:rsidR="009A5554" w:rsidRPr="0070658F">
        <w:t>Appendix</w:t>
      </w:r>
      <w:r w:rsidR="002E2CEE">
        <w:t xml:space="preserve"> </w:t>
      </w:r>
      <w:r w:rsidR="004A40BF">
        <w:t>1</w:t>
      </w:r>
      <w:r w:rsidR="009A5554">
        <w:t>).  The majority of the biomass was made up of the weight of the 3 redhorse species, plus bigmouth buffalo where that species was present.  All sites had total scores and rating ranging from 8</w:t>
      </w:r>
      <w:r w:rsidR="00551B01">
        <w:t>0</w:t>
      </w:r>
      <w:r w:rsidR="009A5554">
        <w:t xml:space="preserve"> to 100 or “excellent”.  </w:t>
      </w:r>
      <w:r>
        <w:t xml:space="preserve">The number of intolerant species varied from 2 to 5, but smallmouth bass and northern hog suckers were the typical intolerant species found at most sites.  </w:t>
      </w:r>
      <w:r w:rsidR="001829E2">
        <w:t xml:space="preserve">The number of sucker species was consistent and represented by </w:t>
      </w:r>
      <w:proofErr w:type="spellStart"/>
      <w:r w:rsidR="001829E2">
        <w:t>shorthead</w:t>
      </w:r>
      <w:proofErr w:type="spellEnd"/>
      <w:r w:rsidR="001829E2">
        <w:t xml:space="preserve">, silver, and golden redhorse, quillback, bigmouth buffalo, and white sucker, with additional species being noted where </w:t>
      </w:r>
      <w:proofErr w:type="spellStart"/>
      <w:r w:rsidR="001829E2">
        <w:t>highfin</w:t>
      </w:r>
      <w:proofErr w:type="spellEnd"/>
      <w:r w:rsidR="001829E2">
        <w:t xml:space="preserve"> </w:t>
      </w:r>
      <w:proofErr w:type="spellStart"/>
      <w:r w:rsidR="001829E2">
        <w:t>carpsucker</w:t>
      </w:r>
      <w:proofErr w:type="spellEnd"/>
      <w:r w:rsidR="001829E2">
        <w:t xml:space="preserve"> and/or river redhorse were found.  </w:t>
      </w:r>
      <w:r w:rsidR="00557D75">
        <w:t xml:space="preserve">The </w:t>
      </w:r>
      <w:r w:rsidR="00E47E7D">
        <w:t xml:space="preserve">individual </w:t>
      </w:r>
      <w:r w:rsidR="00557D75">
        <w:t xml:space="preserve">metrics of WPUE (weight per unit effort), number of sucker species, number of riverine species, percent riverine species, percent </w:t>
      </w:r>
      <w:proofErr w:type="spellStart"/>
      <w:r w:rsidR="00557D75">
        <w:t>lithophils</w:t>
      </w:r>
      <w:proofErr w:type="spellEnd"/>
      <w:r w:rsidR="00557D75">
        <w:t>, percent insectivores, percent round suckers, and percent DELT (disease, erosions, lesions, and tumo</w:t>
      </w:r>
      <w:r w:rsidR="00A45B70">
        <w:t xml:space="preserve">rs) were “good” for all sites. </w:t>
      </w:r>
    </w:p>
    <w:p w:rsidR="002B1AE7" w:rsidRDefault="002B1AE7"/>
    <w:p w:rsidR="000B7F5E" w:rsidRDefault="00746732">
      <w:pPr>
        <w:sectPr w:rsidR="000B7F5E" w:rsidSect="00512C03">
          <w:pgSz w:w="12240" w:h="15840"/>
          <w:pgMar w:top="1440" w:right="1800" w:bottom="1350" w:left="1800" w:header="720" w:footer="720" w:gutter="0"/>
          <w:cols w:space="720"/>
          <w:docGrid w:linePitch="360"/>
        </w:sectPr>
      </w:pPr>
      <w:r>
        <w:t>The qualitative habitat anal</w:t>
      </w:r>
      <w:r w:rsidR="00C62893">
        <w:t>ys</w:t>
      </w:r>
      <w:r>
        <w:t>is</w:t>
      </w:r>
      <w:r w:rsidR="00C62893">
        <w:t xml:space="preserve"> </w:t>
      </w:r>
      <w:r w:rsidR="006146FF">
        <w:t xml:space="preserve">(Table </w:t>
      </w:r>
      <w:r w:rsidR="001C1A50">
        <w:t>3</w:t>
      </w:r>
      <w:r w:rsidR="006146FF">
        <w:t xml:space="preserve">) </w:t>
      </w:r>
      <w:r w:rsidR="00C62893">
        <w:t xml:space="preserve">showed the mean stream width increased from approximately 20 meters at the upper most stations to 32-34 meters at the lower stations.  Bank stability varied from 4 (fair) to 12 (excellent).  Most sites had a bank stability of 8 or “good” and indicating limited erosion with 70-80% of the bank protected.  Maximum </w:t>
      </w:r>
    </w:p>
    <w:p w:rsidR="000B7F5E" w:rsidRDefault="000B7F5E">
      <w:r w:rsidRPr="000B7F5E">
        <w:rPr>
          <w:b/>
        </w:rPr>
        <w:lastRenderedPageBreak/>
        <w:t>Table 1</w:t>
      </w:r>
      <w:r>
        <w:t xml:space="preserve">:  Summary of the Fisheries Data for 2014 Sugar River </w:t>
      </w:r>
      <w:proofErr w:type="spellStart"/>
      <w:r>
        <w:t>Mainstem</w:t>
      </w:r>
      <w:proofErr w:type="spellEnd"/>
      <w:r>
        <w:t xml:space="preserve"> Survey </w:t>
      </w:r>
    </w:p>
    <w:p w:rsidR="000B7F5E" w:rsidRDefault="000B7F5E">
      <w:pPr>
        <w:sectPr w:rsidR="000B7F5E" w:rsidSect="000B7F5E">
          <w:pgSz w:w="15840" w:h="12240" w:orient="landscape"/>
          <w:pgMar w:top="990" w:right="1440" w:bottom="1350" w:left="1440" w:header="720" w:footer="720" w:gutter="0"/>
          <w:cols w:space="720"/>
          <w:docGrid w:linePitch="360"/>
        </w:sectPr>
      </w:pPr>
      <w:r w:rsidRPr="000B7F5E">
        <w:rPr>
          <w:noProof/>
        </w:rPr>
        <w:drawing>
          <wp:inline distT="0" distB="0" distL="0" distR="0" wp14:anchorId="36B8F2F2" wp14:editId="704D0E7E">
            <wp:extent cx="7286625" cy="60273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6625" cy="6027306"/>
                    </a:xfrm>
                    <a:prstGeom prst="rect">
                      <a:avLst/>
                    </a:prstGeom>
                    <a:noFill/>
                    <a:ln>
                      <a:noFill/>
                    </a:ln>
                  </pic:spPr>
                </pic:pic>
              </a:graphicData>
            </a:graphic>
          </wp:inline>
        </w:drawing>
      </w:r>
    </w:p>
    <w:p w:rsidR="00C87AA5" w:rsidRDefault="001C1A50">
      <w:r>
        <w:lastRenderedPageBreak/>
        <w:t>Table 2: Large River Index of Biotic Integrity for the 2014 Sugar River Sites</w:t>
      </w:r>
    </w:p>
    <w:p w:rsidR="001C1A50" w:rsidRDefault="00991E27">
      <w:r w:rsidRPr="00991E27">
        <w:rPr>
          <w:noProof/>
        </w:rPr>
        <w:drawing>
          <wp:inline distT="0" distB="0" distL="0" distR="0" wp14:anchorId="61997C0F" wp14:editId="5839389E">
            <wp:extent cx="5486400" cy="27280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28086"/>
                    </a:xfrm>
                    <a:prstGeom prst="rect">
                      <a:avLst/>
                    </a:prstGeom>
                    <a:noFill/>
                    <a:ln>
                      <a:noFill/>
                    </a:ln>
                  </pic:spPr>
                </pic:pic>
              </a:graphicData>
            </a:graphic>
          </wp:inline>
        </w:drawing>
      </w:r>
    </w:p>
    <w:p w:rsidR="007B3BC8" w:rsidRDefault="007B3BC8"/>
    <w:p w:rsidR="00C87AA5" w:rsidRDefault="001C1A50">
      <w:r>
        <w:t>Table 3</w:t>
      </w:r>
      <w:r w:rsidR="00C87AA5">
        <w:t xml:space="preserve">:  Qualitative Habitat Assessment of the Sugar River </w:t>
      </w:r>
      <w:proofErr w:type="spellStart"/>
      <w:r w:rsidR="00C87AA5">
        <w:t>Mainstem</w:t>
      </w:r>
      <w:proofErr w:type="spellEnd"/>
    </w:p>
    <w:p w:rsidR="00C87AA5" w:rsidRDefault="00C87AA5">
      <w:r w:rsidRPr="00C87AA5">
        <w:rPr>
          <w:noProof/>
        </w:rPr>
        <w:drawing>
          <wp:inline distT="0" distB="0" distL="0" distR="0" wp14:anchorId="3614F850" wp14:editId="5D86F139">
            <wp:extent cx="6191249" cy="1733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018" cy="1736565"/>
                    </a:xfrm>
                    <a:prstGeom prst="rect">
                      <a:avLst/>
                    </a:prstGeom>
                    <a:noFill/>
                    <a:ln>
                      <a:noFill/>
                    </a:ln>
                  </pic:spPr>
                </pic:pic>
              </a:graphicData>
            </a:graphic>
          </wp:inline>
        </w:drawing>
      </w:r>
    </w:p>
    <w:p w:rsidR="00C87AA5" w:rsidRDefault="00C87AA5"/>
    <w:p w:rsidR="00746732" w:rsidRDefault="00755313">
      <w:proofErr w:type="spellStart"/>
      <w:proofErr w:type="gramStart"/>
      <w:r>
        <w:t>thalweg</w:t>
      </w:r>
      <w:proofErr w:type="spellEnd"/>
      <w:proofErr w:type="gramEnd"/>
      <w:r>
        <w:t xml:space="preserve"> depth was fairly consistent between 16 (good) with depths 1-1.5 m and 25 (excellent) with </w:t>
      </w:r>
      <w:proofErr w:type="spellStart"/>
      <w:r>
        <w:t>thalweg</w:t>
      </w:r>
      <w:proofErr w:type="spellEnd"/>
      <w:r>
        <w:t xml:space="preserve"> depths over 1.5 m.  </w:t>
      </w:r>
      <w:proofErr w:type="spellStart"/>
      <w:r>
        <w:t>Thalweg</w:t>
      </w:r>
      <w:proofErr w:type="spellEnd"/>
      <w:r>
        <w:t xml:space="preserve"> depths were greater for the lower 4 </w:t>
      </w:r>
      <w:r w:rsidR="00C62893">
        <w:t xml:space="preserve">stations than for the upper ones.  Riffle/bend scores ranged from 4 (fair) to 12 (excellent) with most scores varying from 4 to 8 (good).  Rocky substrate (percent of substrate that is particle size of gravel or larger) ranged from 0 (poor) to 16 (good).  The lower 2 stations were </w:t>
      </w:r>
      <w:proofErr w:type="spellStart"/>
      <w:r w:rsidR="00C62893">
        <w:t>depauperate</w:t>
      </w:r>
      <w:proofErr w:type="spellEnd"/>
      <w:r w:rsidR="00C62893">
        <w:t xml:space="preserve"> of </w:t>
      </w:r>
      <w:r w:rsidR="00135C1D">
        <w:t>coarse</w:t>
      </w:r>
      <w:r w:rsidR="00C62893">
        <w:t xml:space="preserve"> substrate except in areas scoured under fallen trees.  The upper stations </w:t>
      </w:r>
      <w:r w:rsidR="00135C1D">
        <w:t xml:space="preserve">(STH 92 to CTH C) </w:t>
      </w:r>
      <w:r w:rsidR="00C62893">
        <w:t xml:space="preserve">contained </w:t>
      </w:r>
      <w:r w:rsidR="00135C1D">
        <w:t xml:space="preserve">several substantial riffles (50-100 m long), while the lower stations had gravel bottom predominant throughout the </w:t>
      </w:r>
      <w:proofErr w:type="spellStart"/>
      <w:r w:rsidR="00135C1D">
        <w:t>thalweg</w:t>
      </w:r>
      <w:proofErr w:type="spellEnd"/>
      <w:r w:rsidR="00135C1D">
        <w:t xml:space="preserve">.  Fish cover ranged from 8 (fair) to 25 (excellent) but was consistently 16 (good) at most sites.  Woody debris accounted for most of the fish cover, save for several locations where rock rip-rap was added for shoreline protection.  </w:t>
      </w:r>
      <w:r w:rsidR="00C62893">
        <w:t>Overall scores ranged from 44 (fair) to 70 (good).</w:t>
      </w:r>
    </w:p>
    <w:p w:rsidR="00135C1D" w:rsidRDefault="00135C1D"/>
    <w:p w:rsidR="00FF577D" w:rsidRPr="00CA4D52" w:rsidRDefault="00FF577D">
      <w:pPr>
        <w:rPr>
          <w:i/>
        </w:rPr>
      </w:pPr>
      <w:r w:rsidRPr="00CA4D52">
        <w:rPr>
          <w:i/>
        </w:rPr>
        <w:t>Discussion</w:t>
      </w:r>
    </w:p>
    <w:p w:rsidR="006B1697" w:rsidRDefault="00C22531">
      <w:r>
        <w:t>M</w:t>
      </w:r>
      <w:r w:rsidR="00FF577D">
        <w:t xml:space="preserve">onitoring of </w:t>
      </w:r>
      <w:r>
        <w:t xml:space="preserve">the biotic integrity of river systems in Wisconsin has been inconsistent for the most part over the past 20 years.  The department’s bureau of research conducts trend monitoring on </w:t>
      </w:r>
      <w:r w:rsidR="009A5070">
        <w:t>13 stations on the lower Wisconsin River on an annual basis</w:t>
      </w:r>
      <w:r>
        <w:t xml:space="preserve">.  The U.S. </w:t>
      </w:r>
      <w:r w:rsidR="00BB3640">
        <w:lastRenderedPageBreak/>
        <w:t xml:space="preserve">Environmental Protection Agency (EPA) </w:t>
      </w:r>
      <w:r>
        <w:t>also conducts river sampling on a 5 year basis as part of a national program to look at the quality of</w:t>
      </w:r>
      <w:r w:rsidR="009A5070">
        <w:t xml:space="preserve"> streams and</w:t>
      </w:r>
      <w:r>
        <w:t xml:space="preserve"> rivers from a national perspective</w:t>
      </w:r>
      <w:r w:rsidR="00BB3640">
        <w:t xml:space="preserve"> (U.S. EPA, 201</w:t>
      </w:r>
      <w:r w:rsidR="00746732">
        <w:t>3</w:t>
      </w:r>
      <w:r w:rsidR="00BB3640">
        <w:t>)</w:t>
      </w:r>
      <w:r>
        <w:t xml:space="preserve">.  The department’s fisheries program </w:t>
      </w:r>
      <w:r w:rsidR="009A5070">
        <w:t>historically surveyed</w:t>
      </w:r>
      <w:r>
        <w:t xml:space="preserve"> a series of </w:t>
      </w:r>
      <w:r w:rsidR="006B1697">
        <w:t xml:space="preserve">river </w:t>
      </w:r>
      <w:r>
        <w:t xml:space="preserve">sites, but that monitoring was </w:t>
      </w:r>
      <w:r w:rsidR="00746732">
        <w:t xml:space="preserve">done </w:t>
      </w:r>
      <w:r w:rsidR="006B1697">
        <w:t>inconsistent</w:t>
      </w:r>
      <w:r w:rsidR="00746732">
        <w:t>ly</w:t>
      </w:r>
      <w:r w:rsidR="005018B0">
        <w:t xml:space="preserve"> in both</w:t>
      </w:r>
      <w:r w:rsidR="009A5070">
        <w:t xml:space="preserve"> method</w:t>
      </w:r>
      <w:r w:rsidR="005018B0">
        <w:t>ology</w:t>
      </w:r>
      <w:r w:rsidR="009A5070">
        <w:t xml:space="preserve"> and</w:t>
      </w:r>
      <w:r w:rsidR="005018B0">
        <w:t xml:space="preserve"> routine</w:t>
      </w:r>
      <w:r w:rsidR="006B1697">
        <w:t xml:space="preserve">. </w:t>
      </w:r>
      <w:r>
        <w:t xml:space="preserve">More recently the department has made analysis of the </w:t>
      </w:r>
      <w:proofErr w:type="spellStart"/>
      <w:r>
        <w:t>macroinvert</w:t>
      </w:r>
      <w:r w:rsidR="006B1697">
        <w:t>e</w:t>
      </w:r>
      <w:r>
        <w:t>brate</w:t>
      </w:r>
      <w:proofErr w:type="spellEnd"/>
      <w:r>
        <w:t xml:space="preserve"> community on river systems</w:t>
      </w:r>
      <w:r w:rsidR="00BB3640">
        <w:t xml:space="preserve"> (</w:t>
      </w:r>
      <w:r w:rsidR="00BB3640" w:rsidRPr="000A2504">
        <w:t>Weigel, 20</w:t>
      </w:r>
      <w:r w:rsidR="000A2504" w:rsidRPr="000A2504">
        <w:t>11</w:t>
      </w:r>
      <w:r w:rsidR="00BB3640" w:rsidRPr="000A2504">
        <w:t>)</w:t>
      </w:r>
      <w:r>
        <w:t xml:space="preserve"> a part of the department’s monitoring strategy.</w:t>
      </w:r>
    </w:p>
    <w:p w:rsidR="006B1697" w:rsidRDefault="006B1697"/>
    <w:p w:rsidR="00FF577D" w:rsidRDefault="00FF577D">
      <w:r>
        <w:t xml:space="preserve">Monitoring of rivers which contain </w:t>
      </w:r>
      <w:r w:rsidR="00630DF9">
        <w:t>shallow (</w:t>
      </w:r>
      <w:proofErr w:type="spellStart"/>
      <w:r w:rsidR="00630DF9">
        <w:t>wadable</w:t>
      </w:r>
      <w:proofErr w:type="spellEnd"/>
      <w:r w:rsidR="00630DF9">
        <w:t>) and deep (non-</w:t>
      </w:r>
      <w:proofErr w:type="spellStart"/>
      <w:r w:rsidR="00630DF9">
        <w:t>wadable</w:t>
      </w:r>
      <w:proofErr w:type="spellEnd"/>
      <w:r w:rsidR="00630DF9">
        <w:t xml:space="preserve">) </w:t>
      </w:r>
      <w:r>
        <w:t>sections</w:t>
      </w:r>
      <w:r w:rsidR="006B1697">
        <w:t xml:space="preserve">, swift currents and other </w:t>
      </w:r>
      <w:r w:rsidR="00746732">
        <w:t xml:space="preserve">natural or man-made </w:t>
      </w:r>
      <w:r w:rsidR="006B1697">
        <w:t>obstacles</w:t>
      </w:r>
      <w:r>
        <w:t xml:space="preserve"> can be challenging.  </w:t>
      </w:r>
      <w:r w:rsidR="00C22531">
        <w:t xml:space="preserve">It requires specialized equipment </w:t>
      </w:r>
      <w:r w:rsidR="006B1697">
        <w:t xml:space="preserve">- </w:t>
      </w:r>
      <w:r w:rsidR="00C22531">
        <w:t>a “mini-boom” shocker or similar device</w:t>
      </w:r>
      <w:r w:rsidR="006B1697">
        <w:t xml:space="preserve"> -</w:t>
      </w:r>
      <w:r w:rsidR="00C22531">
        <w:t xml:space="preserve"> as well as staff who are versed in operation of the equipment and navigation of river systems.  </w:t>
      </w:r>
      <w:r w:rsidR="006B1697">
        <w:t>Still, these systems are important in the diversity of fisheries assemblages th</w:t>
      </w:r>
      <w:r w:rsidR="00C33FEA">
        <w:t xml:space="preserve">at they contain as well as </w:t>
      </w:r>
      <w:r w:rsidR="00746732">
        <w:t xml:space="preserve">indicators of </w:t>
      </w:r>
      <w:r w:rsidR="00C33FEA">
        <w:t>the health of the ecosystem on a larger scale</w:t>
      </w:r>
      <w:r w:rsidR="009A5070">
        <w:t xml:space="preserve"> (Lyons, </w:t>
      </w:r>
      <w:r w:rsidR="00EB5206">
        <w:t xml:space="preserve">et. al., </w:t>
      </w:r>
      <w:r w:rsidR="009A5070">
        <w:t>2001)</w:t>
      </w:r>
      <w:r w:rsidR="00C33FEA">
        <w:t xml:space="preserve">.  The U.S. EPA </w:t>
      </w:r>
      <w:r w:rsidR="00F92F13">
        <w:t xml:space="preserve">(2013) </w:t>
      </w:r>
      <w:r w:rsidR="00C33FEA">
        <w:t>reported that</w:t>
      </w:r>
      <w:r w:rsidR="00DC5726">
        <w:t>, within the temperate plains ecoregion – the region wherein the Sug</w:t>
      </w:r>
      <w:r w:rsidR="00746732">
        <w:t>a</w:t>
      </w:r>
      <w:r w:rsidR="00DC5726">
        <w:t>r River lies -</w:t>
      </w:r>
      <w:r w:rsidR="00C33FEA">
        <w:t xml:space="preserve"> the</w:t>
      </w:r>
      <w:r w:rsidR="00DC5726">
        <w:t xml:space="preserve"> fish </w:t>
      </w:r>
      <w:proofErr w:type="spellStart"/>
      <w:r w:rsidR="00DC5726">
        <w:t>multimetric</w:t>
      </w:r>
      <w:proofErr w:type="spellEnd"/>
      <w:r w:rsidR="00DC5726">
        <w:t xml:space="preserve"> index (MMI) was good at 52% of the river and stream miles, 8% was fair, and 35% was poor.  </w:t>
      </w:r>
      <w:r w:rsidR="00F92F13">
        <w:t xml:space="preserve">There are several drawbacks to the EPA methods when conducting this assessment: 1) EPA combines stream and river data, 2) they use methods similar, but not the same as </w:t>
      </w:r>
      <w:r w:rsidR="00DC5726">
        <w:t>the department</w:t>
      </w:r>
      <w:r w:rsidR="00F92F13">
        <w:t xml:space="preserve">, and 3) the metrics used for evaluation are not specifically correlated to rivers in Wisconsin as </w:t>
      </w:r>
      <w:r w:rsidR="00DC5726">
        <w:t>t</w:t>
      </w:r>
      <w:r w:rsidR="00F92F13">
        <w:t xml:space="preserve">hose used by Lyons, et. </w:t>
      </w:r>
      <w:proofErr w:type="gramStart"/>
      <w:r w:rsidR="00F92F13">
        <w:t>al.,</w:t>
      </w:r>
      <w:r w:rsidR="00DC5726">
        <w:t xml:space="preserve"> </w:t>
      </w:r>
      <w:r w:rsidR="00F92F13">
        <w:t>(2001).</w:t>
      </w:r>
      <w:proofErr w:type="gramEnd"/>
      <w:r w:rsidR="00F92F13">
        <w:t xml:space="preserve">  </w:t>
      </w:r>
    </w:p>
    <w:p w:rsidR="00DC5726" w:rsidRDefault="00DC5726"/>
    <w:p w:rsidR="00746732" w:rsidRDefault="00DC5726">
      <w:r>
        <w:t>Because the Sugar River is not modelled to be a “river” according to Lyon</w:t>
      </w:r>
      <w:r w:rsidR="00D8361A">
        <w:t>s</w:t>
      </w:r>
      <w:r>
        <w:t xml:space="preserve"> (2008) until it </w:t>
      </w:r>
      <w:r w:rsidR="001F58C8">
        <w:t>is downstream of Brodhead</w:t>
      </w:r>
      <w:r w:rsidR="009A5070">
        <w:t>,</w:t>
      </w:r>
      <w:r w:rsidR="001F58C8">
        <w:t xml:space="preserve"> </w:t>
      </w:r>
      <w:r w:rsidR="00D8361A">
        <w:t xml:space="preserve">there was some question as to whether the use of the large </w:t>
      </w:r>
      <w:proofErr w:type="spellStart"/>
      <w:r w:rsidR="00D8361A">
        <w:t>warmwater</w:t>
      </w:r>
      <w:proofErr w:type="spellEnd"/>
      <w:r w:rsidR="00D8361A">
        <w:t xml:space="preserve"> river IBI was an appropriate tool to evaluate the data from s</w:t>
      </w:r>
      <w:r w:rsidR="00746732">
        <w:t>ections</w:t>
      </w:r>
      <w:r w:rsidR="00D8361A">
        <w:t xml:space="preserve"> that are modelled to be cool-warm or warm </w:t>
      </w:r>
      <w:proofErr w:type="spellStart"/>
      <w:r w:rsidR="00D8361A">
        <w:t>mainstem</w:t>
      </w:r>
      <w:proofErr w:type="spellEnd"/>
      <w:r w:rsidR="009A5070">
        <w:t xml:space="preserve"> </w:t>
      </w:r>
      <w:r w:rsidR="00D8361A">
        <w:t>s</w:t>
      </w:r>
      <w:r w:rsidR="009A5070">
        <w:t>treams</w:t>
      </w:r>
      <w:r w:rsidR="00D8361A">
        <w:t xml:space="preserve"> and in the absence of “</w:t>
      </w:r>
      <w:r w:rsidR="00DE4474">
        <w:t>.</w:t>
      </w:r>
      <w:r w:rsidR="00D8361A">
        <w:t>..at least 3 km of contiguous river channel too deep to be sampled effectively by wading</w:t>
      </w:r>
      <w:r w:rsidR="00746732">
        <w:t>” (Lyons,</w:t>
      </w:r>
      <w:r w:rsidR="00EB5206">
        <w:t xml:space="preserve"> et. al., </w:t>
      </w:r>
      <w:r w:rsidR="00746732">
        <w:t xml:space="preserve">2001).    </w:t>
      </w:r>
      <w:r w:rsidR="00D8361A">
        <w:t xml:space="preserve">In consultation with </w:t>
      </w:r>
      <w:r w:rsidR="001F58C8">
        <w:t xml:space="preserve">Dr. John Lyons </w:t>
      </w:r>
      <w:r w:rsidR="00D8361A">
        <w:t>it was decided that the section</w:t>
      </w:r>
      <w:r w:rsidR="00746732">
        <w:t>s</w:t>
      </w:r>
      <w:r w:rsidR="00D8361A">
        <w:t xml:space="preserve"> of the Sugar River sampled in this study </w:t>
      </w:r>
      <w:r w:rsidR="00746732">
        <w:t>are</w:t>
      </w:r>
      <w:r w:rsidR="00D8361A">
        <w:rPr>
          <w:color w:val="1F497D"/>
        </w:rPr>
        <w:t xml:space="preserve"> </w:t>
      </w:r>
      <w:r w:rsidR="00D8361A" w:rsidRPr="00D8361A">
        <w:t xml:space="preserve">functionally close-enough to a large river for the IBI to be </w:t>
      </w:r>
      <w:r w:rsidR="00CF4A02">
        <w:t>used</w:t>
      </w:r>
      <w:r w:rsidR="00D8361A">
        <w:t>.</w:t>
      </w:r>
    </w:p>
    <w:p w:rsidR="00746732" w:rsidRDefault="00746732"/>
    <w:p w:rsidR="00321C46" w:rsidRDefault="00321C46">
      <w:r>
        <w:t xml:space="preserve">The fishery assemblage </w:t>
      </w:r>
      <w:r w:rsidR="001047ED">
        <w:t>at</w:t>
      </w:r>
      <w:r>
        <w:t xml:space="preserve"> all stations was very similar, made up of many round sucker species, simple </w:t>
      </w:r>
      <w:proofErr w:type="spellStart"/>
      <w:r>
        <w:t>lithophils</w:t>
      </w:r>
      <w:proofErr w:type="spellEnd"/>
      <w:r>
        <w:t xml:space="preserve"> and insectivores – all indicators of a healthy river environment.  </w:t>
      </w:r>
      <w:r w:rsidR="001047ED">
        <w:t xml:space="preserve">Not surprisingly, species diversity increased as one proceeded further downstream as the </w:t>
      </w:r>
      <w:r w:rsidR="001047ED" w:rsidRPr="00551B01">
        <w:rPr>
          <w:rStyle w:val="Strong"/>
          <w:b w:val="0"/>
        </w:rPr>
        <w:t>river</w:t>
      </w:r>
      <w:r w:rsidR="001047ED">
        <w:t xml:space="preserve"> became larger and in the absence of dams from Brodhead </w:t>
      </w:r>
      <w:r w:rsidR="0018025D">
        <w:t>downstream to its confluence with the Pecatonica River</w:t>
      </w:r>
      <w:r w:rsidR="001047ED">
        <w:t xml:space="preserve">.  </w:t>
      </w:r>
    </w:p>
    <w:p w:rsidR="00321C46" w:rsidRDefault="00321C46"/>
    <w:p w:rsidR="00EA740D" w:rsidRDefault="00EA740D">
      <w:r>
        <w:t>The overall species assemblage is likely</w:t>
      </w:r>
      <w:r>
        <w:t xml:space="preserve"> </w:t>
      </w:r>
      <w:r>
        <w:t xml:space="preserve">underrepresented for Cyprinids (minnows) and Percids (darters) because these species generally inhabit areas not effectively sampled by boom shocking and/or because the net mesh size is too large to retain these specimens. </w:t>
      </w:r>
    </w:p>
    <w:p w:rsidR="00EA740D" w:rsidRDefault="00EA740D"/>
    <w:p w:rsidR="00AC1C4C" w:rsidRDefault="00C0376F">
      <w:r>
        <w:t xml:space="preserve">Game species were present, but not abundant, with smallmouth bass making up the bulk of the gamefish numbers.  There is likely a larger representation of </w:t>
      </w:r>
      <w:proofErr w:type="spellStart"/>
      <w:r>
        <w:t>Ictalurid</w:t>
      </w:r>
      <w:proofErr w:type="spellEnd"/>
      <w:r>
        <w:t xml:space="preserve"> species – both channel and flathead catfish - but boom shocking is not an effective way to sample these species.  </w:t>
      </w:r>
      <w:r w:rsidR="00AC1C4C" w:rsidRPr="008D300F">
        <w:t xml:space="preserve">To that end, fisheries management </w:t>
      </w:r>
      <w:r w:rsidR="00DE4474" w:rsidRPr="008D300F">
        <w:t xml:space="preserve">coincidentally </w:t>
      </w:r>
      <w:r w:rsidR="00AC1C4C" w:rsidRPr="008D300F">
        <w:t xml:space="preserve">conducted a hoop net study at </w:t>
      </w:r>
      <w:r w:rsidR="008D300F">
        <w:t>10</w:t>
      </w:r>
      <w:r w:rsidR="00AC1C4C" w:rsidRPr="008D300F">
        <w:t xml:space="preserve"> sites on the lower Sugar River at </w:t>
      </w:r>
      <w:r w:rsidR="008D300F">
        <w:t>Nelson Road</w:t>
      </w:r>
      <w:r w:rsidR="00991E27" w:rsidRPr="008D300F">
        <w:t xml:space="preserve"> (Appendix </w:t>
      </w:r>
      <w:r w:rsidR="004A40BF">
        <w:t>2</w:t>
      </w:r>
      <w:r w:rsidR="00991E27" w:rsidRPr="008D300F">
        <w:t>)</w:t>
      </w:r>
      <w:r w:rsidR="00AC1C4C" w:rsidRPr="008D300F">
        <w:t xml:space="preserve">.  </w:t>
      </w:r>
      <w:r w:rsidR="004A40BF">
        <w:t xml:space="preserve">This survey is </w:t>
      </w:r>
      <w:r w:rsidR="004A40BF">
        <w:lastRenderedPageBreak/>
        <w:t xml:space="preserve">designed to primarily target channel catfish.  </w:t>
      </w:r>
      <w:r w:rsidR="00AC1C4C" w:rsidRPr="008D300F">
        <w:t xml:space="preserve">The </w:t>
      </w:r>
      <w:r w:rsidR="00DE4474" w:rsidRPr="008D300F">
        <w:t xml:space="preserve">survey </w:t>
      </w:r>
      <w:r w:rsidR="008D300F">
        <w:t xml:space="preserve">found </w:t>
      </w:r>
      <w:r w:rsidR="004A40BF">
        <w:t>a good distribution of</w:t>
      </w:r>
      <w:r w:rsidR="002D2D11">
        <w:t xml:space="preserve"> channel cat</w:t>
      </w:r>
      <w:r w:rsidR="004A40BF">
        <w:t xml:space="preserve">fish from 7 to 26 inches, with the majority of fish less than 14 inches.  In comparison to other hoop net surveys conducted on other Wisconsin waters over the past 25 years, the catch per unit of effort (CPUE) was similar to lotic systems throughout the state.  However, the proportional stock density (PSD) and relative stock density (RSD), measures of “quality” fish and “preferred” fish respectively, were below the average for </w:t>
      </w:r>
      <w:r w:rsidR="00877A56">
        <w:t xml:space="preserve">the Sugar River in comparison with </w:t>
      </w:r>
      <w:r w:rsidR="004A40BF">
        <w:t>other l</w:t>
      </w:r>
      <w:r w:rsidR="00877A56">
        <w:t>o</w:t>
      </w:r>
      <w:r w:rsidR="004A40BF">
        <w:t>tic systems. Possible reasons for this include the relative</w:t>
      </w:r>
      <w:r w:rsidR="00EA740D">
        <w:t>ly small</w:t>
      </w:r>
      <w:r w:rsidR="004A40BF">
        <w:t xml:space="preserve"> size of the Sugar River compared to other Wisconsin </w:t>
      </w:r>
      <w:proofErr w:type="gramStart"/>
      <w:r w:rsidR="004A40BF">
        <w:t>river</w:t>
      </w:r>
      <w:proofErr w:type="gramEnd"/>
      <w:r w:rsidR="004A40BF">
        <w:t xml:space="preserve"> systems as well as the apparent high recruitment rate of channel catfish</w:t>
      </w:r>
      <w:r w:rsidR="00877A56">
        <w:t xml:space="preserve"> in the Sugar River</w:t>
      </w:r>
      <w:r w:rsidR="004A40BF">
        <w:t>.  As noted earlier, the majority of fish found in the 2014 survey were smaller than 14 inches.  These smaller fish can depress the PSD and RSD metrics.</w:t>
      </w:r>
    </w:p>
    <w:p w:rsidR="00AC1C4C" w:rsidRDefault="00AC1C4C"/>
    <w:p w:rsidR="00CF4A02" w:rsidRDefault="004B6235">
      <w:r>
        <w:t xml:space="preserve">Overall, the IBI indicated the </w:t>
      </w:r>
      <w:proofErr w:type="spellStart"/>
      <w:r>
        <w:t>mainstem</w:t>
      </w:r>
      <w:proofErr w:type="spellEnd"/>
      <w:r>
        <w:t xml:space="preserve"> of the Sugar River has a healthy</w:t>
      </w:r>
      <w:r w:rsidR="00AC4D28">
        <w:t>, valuable</w:t>
      </w:r>
      <w:r>
        <w:t xml:space="preserve"> fishery, is not dominated by carp or other tolerant species, </w:t>
      </w:r>
      <w:r w:rsidRPr="00DF092A">
        <w:t xml:space="preserve">and </w:t>
      </w:r>
      <w:r w:rsidR="00DF092A">
        <w:t>offers a system that is unique to the highly agricultural landscape of southern Wisconsin.</w:t>
      </w:r>
      <w:r w:rsidR="00EA740D">
        <w:t xml:space="preserve">  </w:t>
      </w:r>
      <w:r>
        <w:t>This study was by no means an all-encompassing look at the Sugar River ecosystem. There was n</w:t>
      </w:r>
      <w:r w:rsidR="00135C1D">
        <w:t>o assessment of oxbow or backwater habitats</w:t>
      </w:r>
      <w:r>
        <w:t>, although such studies have been conducted by others such as Marshall (</w:t>
      </w:r>
      <w:r w:rsidR="00AC4D28">
        <w:t>2012</w:t>
      </w:r>
      <w:r>
        <w:t xml:space="preserve">).  There was no detailed </w:t>
      </w:r>
      <w:r w:rsidR="00135C1D">
        <w:t>assessment of riffles which probably contain additional species</w:t>
      </w:r>
      <w:r>
        <w:t xml:space="preserve"> </w:t>
      </w:r>
      <w:r w:rsidR="00135C1D">
        <w:t>diversity and in particular may harbor the rare species historically</w:t>
      </w:r>
      <w:r>
        <w:t xml:space="preserve"> </w:t>
      </w:r>
      <w:r w:rsidR="00135C1D">
        <w:t>found in the river.</w:t>
      </w:r>
      <w:r w:rsidR="00A81888">
        <w:t xml:space="preserve">  For comparison, a </w:t>
      </w:r>
      <w:proofErr w:type="spellStart"/>
      <w:r w:rsidR="00A81888">
        <w:t>wadable</w:t>
      </w:r>
      <w:proofErr w:type="spellEnd"/>
      <w:r w:rsidR="00A81888">
        <w:t xml:space="preserve"> assessment conducted </w:t>
      </w:r>
      <w:r w:rsidR="00F46DA9">
        <w:t>over the past several years</w:t>
      </w:r>
      <w:r w:rsidR="00755313">
        <w:t xml:space="preserve"> on the </w:t>
      </w:r>
      <w:r w:rsidR="00A81888">
        <w:t>Sugar River just below the Belleville dam shows upwards of 30 species typically present</w:t>
      </w:r>
      <w:r w:rsidR="00F46DA9">
        <w:t xml:space="preserve"> (WDNR, unpublished data)</w:t>
      </w:r>
      <w:r w:rsidR="00755313">
        <w:t>, compared to the 10 to 20 found in this study</w:t>
      </w:r>
      <w:r w:rsidR="00A81888">
        <w:t>.</w:t>
      </w:r>
    </w:p>
    <w:p w:rsidR="00CF4A02" w:rsidRDefault="00CF4A02"/>
    <w:p w:rsidR="00F175C1" w:rsidRDefault="00CF4A02">
      <w:r>
        <w:t xml:space="preserve">As was noted earlier, the </w:t>
      </w:r>
      <w:proofErr w:type="spellStart"/>
      <w:r>
        <w:t>wadable</w:t>
      </w:r>
      <w:proofErr w:type="spellEnd"/>
      <w:r>
        <w:t xml:space="preserve"> stream qualitative habitat rating for streams larger than 10 meters wide may not be the most appropriate tool to use for river systems as it is designed for large, </w:t>
      </w:r>
      <w:proofErr w:type="spellStart"/>
      <w:r>
        <w:t>wadable</w:t>
      </w:r>
      <w:proofErr w:type="spellEnd"/>
      <w:r>
        <w:t xml:space="preserve"> streams.  However, in the absence of any other existing tool, it can serve to determine habitat characteristics relative to sites on the river. </w:t>
      </w:r>
    </w:p>
    <w:p w:rsidR="00F175C1" w:rsidRDefault="00F175C1"/>
    <w:p w:rsidR="00F175C1" w:rsidRDefault="00F175C1">
      <w:r>
        <w:t>T</w:t>
      </w:r>
      <w:r w:rsidR="00CF4A02">
        <w:t xml:space="preserve">he qualitative stream ratings were fairly consistent between the metrics and overall score.  </w:t>
      </w:r>
      <w:r>
        <w:t>There were certain areas where particular scores were depressed or enhanced.  For instance, the bank stability score at CTH F was particularly low relative to the other sites.  This is consistent with biologist</w:t>
      </w:r>
      <w:r w:rsidR="008E1C30">
        <w:t>’</w:t>
      </w:r>
      <w:r>
        <w:t xml:space="preserve">s observations and suggestions that a potential management tool would be the addition of rock, wood, or other bank stabilization structures which would also enhance habitat for fish.  Bank stability overall was generally good, owing to the flood plain environment which makes development or </w:t>
      </w:r>
      <w:r w:rsidR="00EB5206">
        <w:t>farming</w:t>
      </w:r>
      <w:r>
        <w:t xml:space="preserve"> up to the river’s edge impractical, and subsequently leads to a</w:t>
      </w:r>
      <w:r w:rsidR="00C56E2D">
        <w:t xml:space="preserve"> de facto</w:t>
      </w:r>
      <w:r>
        <w:t xml:space="preserve"> buffer along the river.  </w:t>
      </w:r>
    </w:p>
    <w:p w:rsidR="00F175C1" w:rsidRDefault="00F175C1"/>
    <w:p w:rsidR="00F175C1" w:rsidRDefault="00EB5206">
      <w:r>
        <w:t xml:space="preserve">Much of Sugar </w:t>
      </w:r>
      <w:r w:rsidR="00F46DA9">
        <w:t>R</w:t>
      </w:r>
      <w:r>
        <w:t xml:space="preserve">iver bottom is sand or </w:t>
      </w:r>
      <w:r w:rsidR="00F46DA9">
        <w:t xml:space="preserve">a combination of </w:t>
      </w:r>
      <w:r>
        <w:t xml:space="preserve">sand and gravel. </w:t>
      </w:r>
      <w:r w:rsidR="00F46DA9">
        <w:t>The prevalence of r</w:t>
      </w:r>
      <w:r w:rsidR="00F175C1">
        <w:t>ocky substrate</w:t>
      </w:r>
      <w:r>
        <w:t>, defined as gravel, rubble/cobble, boulder or bedrock,</w:t>
      </w:r>
      <w:r w:rsidR="00F175C1">
        <w:t xml:space="preserve"> varied</w:t>
      </w:r>
      <w:r w:rsidR="00F46DA9">
        <w:t xml:space="preserve"> by site between poor and good</w:t>
      </w:r>
      <w:r>
        <w:t xml:space="preserve">.  </w:t>
      </w:r>
      <w:r w:rsidR="00F46DA9">
        <w:t>In those sections where rocky substrate occurred, it was m</w:t>
      </w:r>
      <w:r>
        <w:t>ost</w:t>
      </w:r>
      <w:r w:rsidR="00F46DA9">
        <w:t>ly in the form of</w:t>
      </w:r>
      <w:r w:rsidR="002E35FE">
        <w:t xml:space="preserve"> </w:t>
      </w:r>
      <w:r w:rsidR="00F175C1">
        <w:t>gravel</w:t>
      </w:r>
      <w:r w:rsidR="00F46DA9">
        <w:t xml:space="preserve"> </w:t>
      </w:r>
      <w:r w:rsidR="00F175C1">
        <w:t>with some areas of</w:t>
      </w:r>
      <w:r>
        <w:t xml:space="preserve"> rubble/cobble and </w:t>
      </w:r>
      <w:r w:rsidR="00F175C1">
        <w:t xml:space="preserve">boulder along shorelines that had been rip-rapped to protect the shoreline.  While the upper section </w:t>
      </w:r>
      <w:r>
        <w:t xml:space="preserve">had some substantial riffles </w:t>
      </w:r>
      <w:r w:rsidR="00F175C1">
        <w:t>(50-100 m long)</w:t>
      </w:r>
      <w:r>
        <w:t xml:space="preserve"> made up of gravel and rubble/cobble</w:t>
      </w:r>
      <w:r w:rsidR="00F175C1">
        <w:t xml:space="preserve">, the middle sections of the river contained mostly gravel in the </w:t>
      </w:r>
      <w:proofErr w:type="spellStart"/>
      <w:r w:rsidR="00F175C1">
        <w:t>thalweg</w:t>
      </w:r>
      <w:proofErr w:type="spellEnd"/>
      <w:r w:rsidR="00F175C1">
        <w:t xml:space="preserve">, with sand and or sand/silt </w:t>
      </w:r>
      <w:r w:rsidR="00F175C1">
        <w:lastRenderedPageBreak/>
        <w:t xml:space="preserve">along the edges.  The lower 2 sites were devoid of coarse substrate for the most part, save for small sections where scouring was enhanced by tree falls.  </w:t>
      </w:r>
    </w:p>
    <w:p w:rsidR="00F175C1" w:rsidRDefault="00F175C1"/>
    <w:p w:rsidR="00321C46" w:rsidRDefault="00F175C1">
      <w:r>
        <w:t>Fish cover was consistent.  For most sites, woody debris made up the bulk of the habitat.  In lower sections</w:t>
      </w:r>
      <w:r w:rsidR="00216DCE">
        <w:t xml:space="preserve"> downstream of the Brodhead dam</w:t>
      </w:r>
      <w:r>
        <w:t xml:space="preserve">, holes with depths to greater than 2 meters also provide cover for fish.  There were also sections which contained rock rip-rap along the shoreline.  Most of these sections were from 50 to 200 m long.  </w:t>
      </w:r>
    </w:p>
    <w:p w:rsidR="00321C46" w:rsidRDefault="00321C46"/>
    <w:p w:rsidR="00321C46" w:rsidRPr="00303061" w:rsidRDefault="00321C46" w:rsidP="00321C46">
      <w:r>
        <w:t xml:space="preserve">The water quality of the Sugar River has been monitored for many decades.  A long-term trend </w:t>
      </w:r>
      <w:r w:rsidR="002E35FE">
        <w:t xml:space="preserve">monitoring </w:t>
      </w:r>
      <w:r>
        <w:t>station exists a</w:t>
      </w:r>
      <w:r w:rsidR="002E35FE">
        <w:t>t</w:t>
      </w:r>
      <w:r>
        <w:t xml:space="preserve"> Ten Eyck Road downstream of Brodhead.  Water samples are taken monthly and analyzed for nutrients, total suspended solids, chlorophyll a, alkalinity, and bacteria.  Trend analysis has shown </w:t>
      </w:r>
      <w:r w:rsidR="00C03671">
        <w:t xml:space="preserve">the flow-weighted annual geometric mean </w:t>
      </w:r>
      <w:r>
        <w:t>total phosphorus</w:t>
      </w:r>
      <w:r w:rsidR="00C03671">
        <w:t xml:space="preserve"> concentration has d</w:t>
      </w:r>
      <w:r>
        <w:t>ecreased</w:t>
      </w:r>
      <w:r w:rsidR="00C03671">
        <w:t xml:space="preserve"> from 0.356 mg/l in 1961 to 0.084 mg/l in 2010</w:t>
      </w:r>
      <w:r w:rsidR="00303061">
        <w:t xml:space="preserve"> </w:t>
      </w:r>
      <w:r w:rsidR="002E2CEE" w:rsidRPr="00C03671">
        <w:t>(</w:t>
      </w:r>
      <w:r w:rsidR="00C03671" w:rsidRPr="00C03671">
        <w:t>M</w:t>
      </w:r>
      <w:r w:rsidR="00C03671">
        <w:t>att Diebel, WDNR, pers. comm.</w:t>
      </w:r>
      <w:r w:rsidR="002E2CEE">
        <w:t>)</w:t>
      </w:r>
      <w:r w:rsidR="00303061">
        <w:t>.</w:t>
      </w:r>
      <w:r>
        <w:t xml:space="preserve">  Still</w:t>
      </w:r>
      <w:r w:rsidR="00303061">
        <w:t>,</w:t>
      </w:r>
      <w:r>
        <w:t xml:space="preserve"> the </w:t>
      </w:r>
      <w:r w:rsidR="00A63EA9">
        <w:t xml:space="preserve">department has recently proposed the Sugar River </w:t>
      </w:r>
      <w:r w:rsidR="00303061">
        <w:t xml:space="preserve">downstream </w:t>
      </w:r>
      <w:r w:rsidR="00A63EA9">
        <w:t>from B</w:t>
      </w:r>
      <w:r w:rsidR="00303061">
        <w:t>elleville to the Illinois state line</w:t>
      </w:r>
      <w:r w:rsidR="00A63EA9">
        <w:t xml:space="preserve"> be placed on the state’s 303(d) list of impaired waters because </w:t>
      </w:r>
      <w:r w:rsidR="00C03671">
        <w:t xml:space="preserve">the mean </w:t>
      </w:r>
      <w:r w:rsidR="00A63EA9">
        <w:t xml:space="preserve">concentrations of total phosphorus exceed the state’s </w:t>
      </w:r>
      <w:r w:rsidR="00303061">
        <w:t xml:space="preserve">water quality </w:t>
      </w:r>
      <w:r w:rsidR="00A63EA9">
        <w:t>criteria</w:t>
      </w:r>
      <w:r w:rsidR="00C03671">
        <w:t xml:space="preserve"> during the growing season</w:t>
      </w:r>
      <w:r w:rsidR="00A63EA9">
        <w:t xml:space="preserve"> </w:t>
      </w:r>
      <w:r w:rsidR="00EB5206" w:rsidRPr="00303061">
        <w:t>(WDNR, 2014)</w:t>
      </w:r>
      <w:r w:rsidR="00303061" w:rsidRPr="00303061">
        <w:t>.</w:t>
      </w:r>
    </w:p>
    <w:p w:rsidR="00A63EA9" w:rsidRDefault="00A63EA9"/>
    <w:p w:rsidR="00A63EA9" w:rsidRPr="00CA4D52" w:rsidRDefault="00A63EA9">
      <w:pPr>
        <w:rPr>
          <w:i/>
        </w:rPr>
      </w:pPr>
      <w:r w:rsidRPr="00CA4D52">
        <w:rPr>
          <w:i/>
        </w:rPr>
        <w:t>Summary and recommendations</w:t>
      </w:r>
    </w:p>
    <w:p w:rsidR="0047278A" w:rsidRDefault="00A63EA9">
      <w:r>
        <w:t>Quality of the Sugar River as represented by the fishery community is</w:t>
      </w:r>
      <w:r w:rsidR="00551B01">
        <w:t xml:space="preserve"> </w:t>
      </w:r>
      <w:r>
        <w:t xml:space="preserve">excellent.  </w:t>
      </w:r>
      <w:r w:rsidRPr="00DF092A">
        <w:t>It confirms the status of the river as an ERW and deserving of protection.</w:t>
      </w:r>
      <w:r>
        <w:t xml:space="preserve">  Nonpoint source inputs could potentially threaten the health of the stream and efforts to enact best management practices in the adjoining watersheds would be beneficial.  The department should explore working with riparian landowners to stabilize eroding banks along the river to reduce sediment input and enhance fish habitat. Based on the species diversity upstream and downstream of the dams at Albany and Brodhead, it is likely the dams affect this diversity by limiting the upstream movement of certain species.  </w:t>
      </w:r>
      <w:r w:rsidR="00D54708">
        <w:t>The desire to mitigate the effects of dams on fish movement needs to be balanced with the need to prevent migration of exotic/nuisance species to other parts of the river.  To that end, t</w:t>
      </w:r>
      <w:r>
        <w:t xml:space="preserve">he department should continue periodic monitoring of sloughs and backwaters to monitor the status of </w:t>
      </w:r>
      <w:r w:rsidR="00AC4D28">
        <w:t>the</w:t>
      </w:r>
      <w:r>
        <w:t xml:space="preserve"> </w:t>
      </w:r>
      <w:r w:rsidR="00AC4D28">
        <w:t>non-native western mosquitofish (</w:t>
      </w:r>
      <w:proofErr w:type="spellStart"/>
      <w:r w:rsidR="00AC4D28">
        <w:rPr>
          <w:i/>
        </w:rPr>
        <w:t>Gambusia</w:t>
      </w:r>
      <w:proofErr w:type="spellEnd"/>
      <w:r w:rsidR="00AC4D28">
        <w:rPr>
          <w:i/>
        </w:rPr>
        <w:t xml:space="preserve"> </w:t>
      </w:r>
      <w:proofErr w:type="spellStart"/>
      <w:r w:rsidR="00AC4D28">
        <w:rPr>
          <w:i/>
        </w:rPr>
        <w:t>affinis</w:t>
      </w:r>
      <w:proofErr w:type="spellEnd"/>
      <w:r w:rsidR="00AC4D28">
        <w:t>)</w:t>
      </w:r>
      <w:r w:rsidR="00F46DA9">
        <w:t xml:space="preserve">, which were found </w:t>
      </w:r>
      <w:r w:rsidR="002E2CEE">
        <w:t>downstream of the Brodhead dam in 2009</w:t>
      </w:r>
      <w:r w:rsidR="00AC4D28">
        <w:t>.</w:t>
      </w:r>
    </w:p>
    <w:p w:rsidR="009A5070" w:rsidRDefault="009A5070"/>
    <w:p w:rsidR="009A5070" w:rsidRDefault="00D54708">
      <w:r>
        <w:t>The monitoring section of the</w:t>
      </w:r>
      <w:r w:rsidR="00CA4D52">
        <w:t xml:space="preserve"> B</w:t>
      </w:r>
      <w:r>
        <w:t xml:space="preserve">ureau of Water </w:t>
      </w:r>
      <w:r w:rsidR="00EC4904">
        <w:t>Quality</w:t>
      </w:r>
      <w:r>
        <w:t xml:space="preserve"> should develop </w:t>
      </w:r>
      <w:r w:rsidR="000D21C3">
        <w:t xml:space="preserve">and incorporate </w:t>
      </w:r>
      <w:r>
        <w:t>a strategy to effectively</w:t>
      </w:r>
      <w:r w:rsidR="00CA4D52">
        <w:t xml:space="preserve"> and systematically</w:t>
      </w:r>
      <w:r>
        <w:t xml:space="preserve"> assess large, non-</w:t>
      </w:r>
      <w:proofErr w:type="spellStart"/>
      <w:r>
        <w:t>wadable</w:t>
      </w:r>
      <w:proofErr w:type="spellEnd"/>
      <w:r>
        <w:t xml:space="preserve"> streams and rivers.  Th</w:t>
      </w:r>
      <w:r w:rsidR="00CA4D52">
        <w:t>is includes</w:t>
      </w:r>
      <w:r w:rsidR="000D21C3">
        <w:t xml:space="preserve"> the use of the large river IBI (Lyons, et. al., 2001), the non-</w:t>
      </w:r>
      <w:proofErr w:type="spellStart"/>
      <w:r w:rsidR="000D21C3">
        <w:t>wadable</w:t>
      </w:r>
      <w:proofErr w:type="spellEnd"/>
      <w:r w:rsidR="000D21C3">
        <w:t xml:space="preserve"> </w:t>
      </w:r>
      <w:proofErr w:type="spellStart"/>
      <w:r w:rsidR="000D21C3">
        <w:t>macroinvertebrate</w:t>
      </w:r>
      <w:proofErr w:type="spellEnd"/>
      <w:r w:rsidR="000D21C3">
        <w:t xml:space="preserve"> IBI (Weige</w:t>
      </w:r>
      <w:r w:rsidR="007B3BC8">
        <w:t xml:space="preserve">l and </w:t>
      </w:r>
      <w:proofErr w:type="spellStart"/>
      <w:r w:rsidR="007B3BC8">
        <w:t>Dimick</w:t>
      </w:r>
      <w:proofErr w:type="spellEnd"/>
      <w:r w:rsidR="007B3BC8">
        <w:t xml:space="preserve">, 2011), use of long-term trend data at USGS gauging stations, the need to develop the </w:t>
      </w:r>
      <w:r w:rsidR="007F63B2">
        <w:t>diatom nutrient index</w:t>
      </w:r>
      <w:r w:rsidR="007B3BC8">
        <w:t xml:space="preserve"> to correlate phosphorus impacts, and </w:t>
      </w:r>
      <w:r w:rsidR="00CA4D52">
        <w:t>the</w:t>
      </w:r>
      <w:r>
        <w:t xml:space="preserve"> n</w:t>
      </w:r>
      <w:r w:rsidR="009A5070">
        <w:t>eed to develop a habitat measurement for large, non-</w:t>
      </w:r>
      <w:proofErr w:type="spellStart"/>
      <w:r w:rsidR="009A5070">
        <w:t>wadable</w:t>
      </w:r>
      <w:proofErr w:type="spellEnd"/>
      <w:r w:rsidR="009A5070">
        <w:t xml:space="preserve"> river systems.</w:t>
      </w:r>
    </w:p>
    <w:p w:rsidR="009A5070" w:rsidRDefault="009A5070">
      <w:r>
        <w:br w:type="page"/>
      </w:r>
    </w:p>
    <w:p w:rsidR="002B1AE7" w:rsidRPr="00877A56" w:rsidRDefault="002B1AE7">
      <w:pPr>
        <w:rPr>
          <w:i/>
        </w:rPr>
      </w:pPr>
      <w:r w:rsidRPr="00877A56">
        <w:rPr>
          <w:i/>
        </w:rPr>
        <w:lastRenderedPageBreak/>
        <w:t>References</w:t>
      </w:r>
    </w:p>
    <w:p w:rsidR="002B1AE7" w:rsidRDefault="002B1AE7"/>
    <w:p w:rsidR="002B1AE7" w:rsidRDefault="002B1AE7" w:rsidP="001909D3">
      <w:pPr>
        <w:ind w:left="540" w:hanging="540"/>
      </w:pPr>
      <w:proofErr w:type="gramStart"/>
      <w:r>
        <w:t xml:space="preserve">Lyons, John, R.R. </w:t>
      </w:r>
      <w:proofErr w:type="spellStart"/>
      <w:r>
        <w:t>Piette</w:t>
      </w:r>
      <w:proofErr w:type="spellEnd"/>
      <w:r>
        <w:t xml:space="preserve">, and K.W. </w:t>
      </w:r>
      <w:proofErr w:type="spellStart"/>
      <w:r>
        <w:t>Niermeyer</w:t>
      </w:r>
      <w:proofErr w:type="spellEnd"/>
      <w:r>
        <w:t>.</w:t>
      </w:r>
      <w:proofErr w:type="gramEnd"/>
      <w:r>
        <w:t xml:space="preserve">  2001.  Development, Validation, and Application of a Fish-Based Index of Biotic Integrity for Wisconsin’s Large </w:t>
      </w:r>
      <w:proofErr w:type="spellStart"/>
      <w:r>
        <w:t>Warmwater</w:t>
      </w:r>
      <w:proofErr w:type="spellEnd"/>
      <w:r>
        <w:t xml:space="preserve"> Rivers.  </w:t>
      </w:r>
      <w:proofErr w:type="gramStart"/>
      <w:r>
        <w:t>Transactions of the American Fisheries Society.</w:t>
      </w:r>
      <w:proofErr w:type="gramEnd"/>
      <w:r>
        <w:t xml:space="preserve">  130:1007-1094.</w:t>
      </w:r>
    </w:p>
    <w:p w:rsidR="002B1AE7" w:rsidRDefault="002B1AE7"/>
    <w:p w:rsidR="001909D3" w:rsidRDefault="001909D3" w:rsidP="001909D3">
      <w:pPr>
        <w:ind w:left="540" w:hanging="540"/>
      </w:pPr>
      <w:r>
        <w:t xml:space="preserve">Lyons, John.  2008.  Using the Wisconsin Stream Model to Estimate the Potential Natural Community of Wisconsin Streams (DRAFT).  </w:t>
      </w:r>
      <w:proofErr w:type="gramStart"/>
      <w:r>
        <w:t>Wisconsin Department of Natural Resources Fish and Aquatic Life Research Section.</w:t>
      </w:r>
      <w:proofErr w:type="gramEnd"/>
      <w:r>
        <w:t xml:space="preserve">  November, 2008.</w:t>
      </w:r>
    </w:p>
    <w:p w:rsidR="00441785" w:rsidRDefault="00441785" w:rsidP="001909D3">
      <w:pPr>
        <w:ind w:left="540" w:hanging="540"/>
      </w:pPr>
    </w:p>
    <w:p w:rsidR="00441785" w:rsidRDefault="00441785" w:rsidP="001909D3">
      <w:pPr>
        <w:ind w:left="540" w:hanging="540"/>
      </w:pPr>
      <w:r>
        <w:t xml:space="preserve">Marshall, David.  2012.  Surveys of River Floodplain Habitats for Fish Species with Inventory Needs, SGCN and Associated Off-channel Fish Populations.  </w:t>
      </w:r>
      <w:proofErr w:type="gramStart"/>
      <w:r>
        <w:t>In fulfillment of State Wildlife Grant (SWG-11).</w:t>
      </w:r>
      <w:proofErr w:type="gramEnd"/>
      <w:r>
        <w:t xml:space="preserve">  </w:t>
      </w:r>
      <w:proofErr w:type="gramStart"/>
      <w:r>
        <w:t>Final Report.</w:t>
      </w:r>
      <w:proofErr w:type="gramEnd"/>
      <w:r>
        <w:t xml:space="preserve">  </w:t>
      </w:r>
      <w:proofErr w:type="gramStart"/>
      <w:r>
        <w:t>Underwater Habitat Investigations LLC.</w:t>
      </w:r>
      <w:proofErr w:type="gramEnd"/>
      <w:r>
        <w:t xml:space="preserve">  November 2012.</w:t>
      </w:r>
    </w:p>
    <w:p w:rsidR="002B1AE7" w:rsidRDefault="002B1AE7"/>
    <w:p w:rsidR="004E160F" w:rsidRDefault="004E160F" w:rsidP="004E160F">
      <w:pPr>
        <w:ind w:left="360" w:hanging="360"/>
      </w:pPr>
      <w:r>
        <w:t xml:space="preserve">Simonsen, Simonson, Timothy D.  J. Lyons and P. Kanehl.  1994.  Guidelines for Evaluating Fish Habitat in Wisconsin Streams.  </w:t>
      </w:r>
      <w:proofErr w:type="gramStart"/>
      <w:r>
        <w:t>United States Department of Agriculture.</w:t>
      </w:r>
      <w:proofErr w:type="gramEnd"/>
      <w:r>
        <w:t xml:space="preserve">  </w:t>
      </w:r>
      <w:proofErr w:type="gramStart"/>
      <w:r>
        <w:t>Forest Service.</w:t>
      </w:r>
      <w:proofErr w:type="gramEnd"/>
      <w:r>
        <w:t xml:space="preserve">  </w:t>
      </w:r>
      <w:proofErr w:type="gramStart"/>
      <w:r>
        <w:t>General Technical Report NC-164.</w:t>
      </w:r>
      <w:proofErr w:type="gramEnd"/>
    </w:p>
    <w:p w:rsidR="004E160F" w:rsidRDefault="004E160F"/>
    <w:p w:rsidR="00BB3640" w:rsidRDefault="00BB3640" w:rsidP="00BB3640">
      <w:pPr>
        <w:ind w:left="720" w:hanging="720"/>
        <w:rPr>
          <w:rStyle w:val="Hyperlink"/>
        </w:rPr>
      </w:pPr>
      <w:proofErr w:type="gramStart"/>
      <w:r>
        <w:t>U.S. EPA.</w:t>
      </w:r>
      <w:proofErr w:type="gramEnd"/>
      <w:r>
        <w:t xml:space="preserve">  </w:t>
      </w:r>
      <w:proofErr w:type="gramStart"/>
      <w:r>
        <w:t>201</w:t>
      </w:r>
      <w:r w:rsidR="00F92F13">
        <w:t>3</w:t>
      </w:r>
      <w:r>
        <w:t>. National Rivers and Stream Assessment.</w:t>
      </w:r>
      <w:proofErr w:type="gramEnd"/>
      <w:r>
        <w:t xml:space="preserve"> </w:t>
      </w:r>
      <w:hyperlink r:id="rId11" w:history="1">
        <w:r w:rsidR="004B6235" w:rsidRPr="00FF2B78">
          <w:rPr>
            <w:rStyle w:val="Hyperlink"/>
          </w:rPr>
          <w:t>http://water.epa.gov/type/rsl/monitoring/riverssurvey/</w:t>
        </w:r>
      </w:hyperlink>
    </w:p>
    <w:p w:rsidR="00755313" w:rsidRDefault="00755313" w:rsidP="00BB3640">
      <w:pPr>
        <w:ind w:left="720" w:hanging="720"/>
      </w:pPr>
    </w:p>
    <w:p w:rsidR="004B6235" w:rsidRDefault="00755313" w:rsidP="00BB3640">
      <w:pPr>
        <w:ind w:left="720" w:hanging="720"/>
      </w:pPr>
      <w:proofErr w:type="gramStart"/>
      <w:r>
        <w:t>USGS.</w:t>
      </w:r>
      <w:proofErr w:type="gramEnd"/>
      <w:r>
        <w:t xml:space="preserve"> 2014.  National Water Information System.  </w:t>
      </w:r>
      <w:proofErr w:type="gramStart"/>
      <w:r>
        <w:t>Current Water Data for Wisconsin.</w:t>
      </w:r>
      <w:proofErr w:type="gramEnd"/>
      <w:r>
        <w:t xml:space="preserve">  United States Geologic Survey.  </w:t>
      </w:r>
      <w:r w:rsidRPr="00755313">
        <w:t>http://waterdata.usgs.gov/wi/nwis/rt</w:t>
      </w:r>
    </w:p>
    <w:p w:rsidR="00755313" w:rsidRDefault="00755313" w:rsidP="00303061">
      <w:pPr>
        <w:ind w:left="540" w:hanging="540"/>
      </w:pPr>
    </w:p>
    <w:p w:rsidR="00303061" w:rsidRDefault="00303061" w:rsidP="00303061">
      <w:pPr>
        <w:ind w:left="540" w:hanging="540"/>
      </w:pPr>
      <w:proofErr w:type="gramStart"/>
      <w:r w:rsidRPr="005C602D">
        <w:t>WDNR.</w:t>
      </w:r>
      <w:proofErr w:type="gramEnd"/>
      <w:r w:rsidRPr="005C602D">
        <w:t xml:space="preserve">  2014</w:t>
      </w:r>
      <w:r>
        <w:t>.  Wisconsin 2014 Consolidated Assessment and Listing Methodology (</w:t>
      </w:r>
      <w:proofErr w:type="spellStart"/>
      <w:r>
        <w:t>WisCALM</w:t>
      </w:r>
      <w:proofErr w:type="spellEnd"/>
      <w:r>
        <w:t xml:space="preserve">).  Clean Water Act Section 305(b), 314, and 303(d) Integrated Reporting.  </w:t>
      </w:r>
      <w:proofErr w:type="gramStart"/>
      <w:r>
        <w:t>Wisconsin Department of Natural Resources.</w:t>
      </w:r>
      <w:proofErr w:type="gramEnd"/>
      <w:r>
        <w:t xml:space="preserve">  </w:t>
      </w:r>
      <w:proofErr w:type="gramStart"/>
      <w:r>
        <w:t>Bureau of Water Quality Program Guidance.</w:t>
      </w:r>
      <w:proofErr w:type="gramEnd"/>
      <w:r>
        <w:t xml:space="preserve"> September, 2013.</w:t>
      </w:r>
    </w:p>
    <w:p w:rsidR="00A4264C" w:rsidRDefault="00A4264C" w:rsidP="00BB3640">
      <w:pPr>
        <w:ind w:left="720" w:hanging="720"/>
      </w:pPr>
    </w:p>
    <w:p w:rsidR="002E2CEE" w:rsidRDefault="005663C7" w:rsidP="00BB3640">
      <w:pPr>
        <w:ind w:left="720" w:hanging="720"/>
        <w:sectPr w:rsidR="002E2CEE">
          <w:pgSz w:w="12240" w:h="15840"/>
          <w:pgMar w:top="1440" w:right="1800" w:bottom="1440" w:left="1800" w:header="720" w:footer="720" w:gutter="0"/>
          <w:cols w:space="720"/>
          <w:docGrid w:linePitch="360"/>
        </w:sectPr>
      </w:pPr>
      <w:proofErr w:type="gramStart"/>
      <w:r>
        <w:t xml:space="preserve">Weigel, Brian and Jeffery </w:t>
      </w:r>
      <w:proofErr w:type="spellStart"/>
      <w:r>
        <w:t>Dimick</w:t>
      </w:r>
      <w:proofErr w:type="spellEnd"/>
      <w:r>
        <w:t>.</w:t>
      </w:r>
      <w:proofErr w:type="gramEnd"/>
      <w:r>
        <w:t xml:space="preserve">  2011.  Development, validation and application of a </w:t>
      </w:r>
      <w:proofErr w:type="spellStart"/>
      <w:r>
        <w:t>macroinvertebrate</w:t>
      </w:r>
      <w:proofErr w:type="spellEnd"/>
      <w:r>
        <w:t xml:space="preserve">-based Index of Biotic Integrity for </w:t>
      </w:r>
      <w:proofErr w:type="spellStart"/>
      <w:proofErr w:type="gramStart"/>
      <w:r>
        <w:t>nonwadeable</w:t>
      </w:r>
      <w:proofErr w:type="spellEnd"/>
      <w:r>
        <w:t xml:space="preserve"> rivers</w:t>
      </w:r>
      <w:proofErr w:type="gramEnd"/>
      <w:r>
        <w:t xml:space="preserve"> of Wisconsin.  </w:t>
      </w:r>
      <w:proofErr w:type="gramStart"/>
      <w:r>
        <w:t xml:space="preserve">Journal of the North American </w:t>
      </w:r>
      <w:proofErr w:type="spellStart"/>
      <w:r>
        <w:t>Benthological</w:t>
      </w:r>
      <w:proofErr w:type="spellEnd"/>
      <w:r>
        <w:t xml:space="preserve"> Society.</w:t>
      </w:r>
      <w:proofErr w:type="gramEnd"/>
      <w:r>
        <w:t xml:space="preserve">  30(3):665-679.</w:t>
      </w:r>
    </w:p>
    <w:p w:rsidR="004B6235" w:rsidRDefault="002E2CEE" w:rsidP="00BB3640">
      <w:pPr>
        <w:ind w:left="720" w:hanging="720"/>
      </w:pPr>
      <w:r w:rsidRPr="00906EDD">
        <w:rPr>
          <w:b/>
        </w:rPr>
        <w:lastRenderedPageBreak/>
        <w:t>Appendix 1</w:t>
      </w:r>
      <w:r>
        <w:t>: Species Assemblage and Large River IBI – Sugar River 2014</w:t>
      </w:r>
    </w:p>
    <w:p w:rsidR="002E2CEE" w:rsidRDefault="002E2CEE" w:rsidP="002E2CEE">
      <w:pPr>
        <w:ind w:left="720" w:firstLine="540"/>
      </w:pPr>
    </w:p>
    <w:p w:rsidR="002E2CEE" w:rsidRPr="00906EDD" w:rsidRDefault="002E2CEE" w:rsidP="002E2CEE">
      <w:pPr>
        <w:ind w:left="720" w:firstLine="540"/>
        <w:rPr>
          <w:b/>
        </w:rPr>
      </w:pPr>
      <w:r w:rsidRPr="00906EDD">
        <w:rPr>
          <w:b/>
        </w:rPr>
        <w:t>STH 92</w:t>
      </w:r>
    </w:p>
    <w:p w:rsidR="002E2CEE" w:rsidRDefault="002E2CEE" w:rsidP="00BB3640">
      <w:pPr>
        <w:ind w:left="720" w:hanging="720"/>
      </w:pPr>
      <w:r w:rsidRPr="002E2CEE">
        <w:rPr>
          <w:noProof/>
        </w:rPr>
        <w:drawing>
          <wp:inline distT="0" distB="0" distL="0" distR="0" wp14:anchorId="6B9AC2B6" wp14:editId="2B2CBC0D">
            <wp:extent cx="7267575" cy="5488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67575" cy="5488932"/>
                    </a:xfrm>
                    <a:prstGeom prst="rect">
                      <a:avLst/>
                    </a:prstGeom>
                    <a:noFill/>
                    <a:ln>
                      <a:noFill/>
                    </a:ln>
                  </pic:spPr>
                </pic:pic>
              </a:graphicData>
            </a:graphic>
          </wp:inline>
        </w:drawing>
      </w:r>
    </w:p>
    <w:p w:rsidR="002E2CEE" w:rsidRDefault="002E2CEE">
      <w:r w:rsidRPr="00906EDD">
        <w:rPr>
          <w:b/>
        </w:rPr>
        <w:lastRenderedPageBreak/>
        <w:t>Appendix 1</w:t>
      </w:r>
      <w:r>
        <w:t>: continued</w:t>
      </w:r>
    </w:p>
    <w:p w:rsidR="002E2CEE" w:rsidRDefault="002E2CEE"/>
    <w:p w:rsidR="002E2CEE" w:rsidRPr="00906EDD" w:rsidRDefault="002E2CEE" w:rsidP="00906EDD">
      <w:pPr>
        <w:ind w:left="720" w:firstLine="630"/>
        <w:rPr>
          <w:b/>
        </w:rPr>
      </w:pPr>
      <w:r w:rsidRPr="00906EDD">
        <w:rPr>
          <w:b/>
        </w:rPr>
        <w:t>CTH X</w:t>
      </w:r>
    </w:p>
    <w:p w:rsidR="002E2CEE" w:rsidRDefault="002E2CEE">
      <w:r w:rsidRPr="002E2CEE">
        <w:rPr>
          <w:noProof/>
        </w:rPr>
        <w:drawing>
          <wp:inline distT="0" distB="0" distL="0" distR="0" wp14:anchorId="6E3702D4" wp14:editId="4F74837D">
            <wp:extent cx="8229600" cy="25611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2561108"/>
                    </a:xfrm>
                    <a:prstGeom prst="rect">
                      <a:avLst/>
                    </a:prstGeom>
                    <a:noFill/>
                    <a:ln>
                      <a:noFill/>
                    </a:ln>
                  </pic:spPr>
                </pic:pic>
              </a:graphicData>
            </a:graphic>
          </wp:inline>
        </w:drawing>
      </w:r>
      <w:r>
        <w:br w:type="page"/>
      </w:r>
    </w:p>
    <w:p w:rsidR="002E2CEE" w:rsidRDefault="0024271D" w:rsidP="00BB3640">
      <w:pPr>
        <w:ind w:left="720" w:hanging="720"/>
      </w:pPr>
      <w:r w:rsidRPr="00906EDD">
        <w:rPr>
          <w:b/>
        </w:rPr>
        <w:lastRenderedPageBreak/>
        <w:t>Appendix 1</w:t>
      </w:r>
      <w:r>
        <w:t>: continued</w:t>
      </w:r>
    </w:p>
    <w:p w:rsidR="0024271D" w:rsidRDefault="0024271D" w:rsidP="00BB3640">
      <w:pPr>
        <w:ind w:left="720" w:hanging="720"/>
      </w:pPr>
    </w:p>
    <w:p w:rsidR="0024271D" w:rsidRPr="00906EDD" w:rsidRDefault="0024271D" w:rsidP="00906EDD">
      <w:pPr>
        <w:ind w:left="720" w:firstLine="630"/>
        <w:rPr>
          <w:b/>
        </w:rPr>
      </w:pPr>
      <w:r w:rsidRPr="00906EDD">
        <w:rPr>
          <w:b/>
        </w:rPr>
        <w:t>CTH C</w:t>
      </w:r>
    </w:p>
    <w:p w:rsidR="00B85D6C" w:rsidRDefault="0024271D" w:rsidP="00B85D6C">
      <w:pPr>
        <w:ind w:left="720" w:hanging="720"/>
      </w:pPr>
      <w:r w:rsidRPr="0024271D">
        <w:rPr>
          <w:noProof/>
        </w:rPr>
        <w:drawing>
          <wp:inline distT="0" distB="0" distL="0" distR="0" wp14:anchorId="43E531A5" wp14:editId="4AAE5B9C">
            <wp:extent cx="8229600" cy="2686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2686929"/>
                    </a:xfrm>
                    <a:prstGeom prst="rect">
                      <a:avLst/>
                    </a:prstGeom>
                    <a:noFill/>
                    <a:ln>
                      <a:noFill/>
                    </a:ln>
                  </pic:spPr>
                </pic:pic>
              </a:graphicData>
            </a:graphic>
          </wp:inline>
        </w:drawing>
      </w:r>
    </w:p>
    <w:p w:rsidR="00B85D6C" w:rsidRDefault="00B85D6C">
      <w:r>
        <w:br w:type="page"/>
      </w:r>
    </w:p>
    <w:p w:rsidR="0024271D" w:rsidRDefault="00B85D6C" w:rsidP="00B85D6C">
      <w:pPr>
        <w:ind w:left="720" w:hanging="720"/>
      </w:pPr>
      <w:r w:rsidRPr="00906EDD">
        <w:rPr>
          <w:b/>
        </w:rPr>
        <w:lastRenderedPageBreak/>
        <w:t>Appendix 1</w:t>
      </w:r>
      <w:r>
        <w:t>: continued</w:t>
      </w:r>
    </w:p>
    <w:p w:rsidR="0024271D" w:rsidRDefault="0024271D" w:rsidP="0024271D">
      <w:pPr>
        <w:ind w:left="720" w:hanging="720"/>
      </w:pPr>
    </w:p>
    <w:p w:rsidR="0024271D" w:rsidRPr="00906EDD" w:rsidRDefault="0024271D" w:rsidP="00906EDD">
      <w:pPr>
        <w:ind w:left="720" w:firstLine="630"/>
        <w:rPr>
          <w:b/>
        </w:rPr>
      </w:pPr>
      <w:r w:rsidRPr="00906EDD">
        <w:rPr>
          <w:b/>
        </w:rPr>
        <w:t>CTH EE</w:t>
      </w:r>
    </w:p>
    <w:p w:rsidR="00B85D6C" w:rsidRDefault="0024271D" w:rsidP="0024271D">
      <w:pPr>
        <w:ind w:left="720" w:hanging="720"/>
      </w:pPr>
      <w:r w:rsidRPr="0024271D">
        <w:rPr>
          <w:noProof/>
        </w:rPr>
        <w:drawing>
          <wp:inline distT="0" distB="0" distL="0" distR="0" wp14:anchorId="1DFD5341" wp14:editId="1A6FA774">
            <wp:extent cx="8229600" cy="23661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2366183"/>
                    </a:xfrm>
                    <a:prstGeom prst="rect">
                      <a:avLst/>
                    </a:prstGeom>
                    <a:noFill/>
                    <a:ln>
                      <a:noFill/>
                    </a:ln>
                  </pic:spPr>
                </pic:pic>
              </a:graphicData>
            </a:graphic>
          </wp:inline>
        </w:drawing>
      </w:r>
    </w:p>
    <w:p w:rsidR="00B85D6C" w:rsidRDefault="00B85D6C">
      <w:r>
        <w:br w:type="page"/>
      </w:r>
    </w:p>
    <w:p w:rsidR="00B85D6C" w:rsidRDefault="00B85D6C">
      <w:r w:rsidRPr="00906EDD">
        <w:rPr>
          <w:b/>
        </w:rPr>
        <w:lastRenderedPageBreak/>
        <w:t>Appendix 1</w:t>
      </w:r>
      <w:r>
        <w:t>: continued</w:t>
      </w:r>
    </w:p>
    <w:p w:rsidR="00B85D6C" w:rsidRDefault="00B85D6C"/>
    <w:p w:rsidR="00B85D6C" w:rsidRPr="00906EDD" w:rsidRDefault="00B85D6C" w:rsidP="00906EDD">
      <w:pPr>
        <w:ind w:left="720" w:firstLine="630"/>
        <w:rPr>
          <w:b/>
        </w:rPr>
      </w:pPr>
      <w:r w:rsidRPr="00906EDD">
        <w:rPr>
          <w:b/>
        </w:rPr>
        <w:t>CTH F</w:t>
      </w:r>
    </w:p>
    <w:p w:rsidR="00B85D6C" w:rsidRDefault="00B85D6C">
      <w:r w:rsidRPr="00B85D6C">
        <w:rPr>
          <w:noProof/>
        </w:rPr>
        <w:drawing>
          <wp:inline distT="0" distB="0" distL="0" distR="0" wp14:anchorId="4877C184" wp14:editId="3547BD85">
            <wp:extent cx="6947918" cy="5486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7918" cy="5486400"/>
                    </a:xfrm>
                    <a:prstGeom prst="rect">
                      <a:avLst/>
                    </a:prstGeom>
                    <a:noFill/>
                    <a:ln>
                      <a:noFill/>
                    </a:ln>
                  </pic:spPr>
                </pic:pic>
              </a:graphicData>
            </a:graphic>
          </wp:inline>
        </w:drawing>
      </w:r>
      <w:r>
        <w:br w:type="page"/>
      </w:r>
    </w:p>
    <w:p w:rsidR="0024271D" w:rsidRDefault="00B85D6C" w:rsidP="0024271D">
      <w:pPr>
        <w:ind w:left="720" w:hanging="720"/>
      </w:pPr>
      <w:r w:rsidRPr="00906EDD">
        <w:rPr>
          <w:b/>
        </w:rPr>
        <w:lastRenderedPageBreak/>
        <w:t>Appendix 1</w:t>
      </w:r>
      <w:r>
        <w:t>: continued</w:t>
      </w:r>
    </w:p>
    <w:p w:rsidR="00B85D6C" w:rsidRDefault="00B85D6C" w:rsidP="0024271D">
      <w:pPr>
        <w:ind w:left="720" w:hanging="720"/>
      </w:pPr>
    </w:p>
    <w:p w:rsidR="00B85D6C" w:rsidRPr="00906EDD" w:rsidRDefault="00B85D6C" w:rsidP="00906EDD">
      <w:pPr>
        <w:ind w:left="720" w:firstLine="630"/>
        <w:rPr>
          <w:b/>
        </w:rPr>
      </w:pPr>
      <w:r w:rsidRPr="00906EDD">
        <w:rPr>
          <w:b/>
        </w:rPr>
        <w:t>STH 81/11</w:t>
      </w:r>
    </w:p>
    <w:p w:rsidR="00B85D6C" w:rsidRDefault="00B85D6C" w:rsidP="00B85D6C">
      <w:pPr>
        <w:ind w:left="720" w:hanging="720"/>
      </w:pPr>
      <w:r w:rsidRPr="00B85D6C">
        <w:rPr>
          <w:noProof/>
        </w:rPr>
        <w:drawing>
          <wp:inline distT="0" distB="0" distL="0" distR="0" wp14:anchorId="1C3E659E" wp14:editId="20CD311F">
            <wp:extent cx="6391275" cy="5506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5506745"/>
                    </a:xfrm>
                    <a:prstGeom prst="rect">
                      <a:avLst/>
                    </a:prstGeom>
                    <a:noFill/>
                    <a:ln>
                      <a:noFill/>
                    </a:ln>
                  </pic:spPr>
                </pic:pic>
              </a:graphicData>
            </a:graphic>
          </wp:inline>
        </w:drawing>
      </w:r>
      <w:r>
        <w:br w:type="page"/>
      </w:r>
    </w:p>
    <w:p w:rsidR="00B85D6C" w:rsidRDefault="00B85D6C" w:rsidP="0024271D">
      <w:pPr>
        <w:ind w:left="720" w:hanging="720"/>
      </w:pPr>
      <w:r w:rsidRPr="00906EDD">
        <w:rPr>
          <w:b/>
        </w:rPr>
        <w:lastRenderedPageBreak/>
        <w:t>Appendix 1</w:t>
      </w:r>
      <w:r>
        <w:t>: continued</w:t>
      </w:r>
    </w:p>
    <w:p w:rsidR="00B85D6C" w:rsidRDefault="00B85D6C" w:rsidP="0024271D">
      <w:pPr>
        <w:ind w:left="720" w:hanging="720"/>
      </w:pPr>
    </w:p>
    <w:p w:rsidR="00B85D6C" w:rsidRPr="00906EDD" w:rsidRDefault="00B85D6C" w:rsidP="00906EDD">
      <w:pPr>
        <w:ind w:left="720" w:firstLine="630"/>
        <w:rPr>
          <w:b/>
        </w:rPr>
      </w:pPr>
      <w:r w:rsidRPr="00906EDD">
        <w:rPr>
          <w:b/>
        </w:rPr>
        <w:t>Beloit-Newark Road</w:t>
      </w:r>
    </w:p>
    <w:p w:rsidR="00B85D6C" w:rsidRDefault="00B85D6C" w:rsidP="0024271D">
      <w:pPr>
        <w:ind w:left="720" w:hanging="720"/>
      </w:pPr>
      <w:r w:rsidRPr="00B85D6C">
        <w:rPr>
          <w:noProof/>
        </w:rPr>
        <w:drawing>
          <wp:inline distT="0" distB="0" distL="0" distR="0" wp14:anchorId="7AE23A1D" wp14:editId="53DC7228">
            <wp:extent cx="8229600" cy="364904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3649040"/>
                    </a:xfrm>
                    <a:prstGeom prst="rect">
                      <a:avLst/>
                    </a:prstGeom>
                    <a:noFill/>
                    <a:ln>
                      <a:noFill/>
                    </a:ln>
                  </pic:spPr>
                </pic:pic>
              </a:graphicData>
            </a:graphic>
          </wp:inline>
        </w:drawing>
      </w:r>
    </w:p>
    <w:p w:rsidR="00B85D6C" w:rsidRDefault="00B85D6C">
      <w:r>
        <w:br w:type="page"/>
      </w:r>
    </w:p>
    <w:p w:rsidR="00B85D6C" w:rsidRDefault="00B85D6C" w:rsidP="0024271D">
      <w:pPr>
        <w:ind w:left="720" w:hanging="720"/>
      </w:pPr>
      <w:r w:rsidRPr="00906EDD">
        <w:rPr>
          <w:b/>
        </w:rPr>
        <w:lastRenderedPageBreak/>
        <w:t>Appendix 1</w:t>
      </w:r>
      <w:r>
        <w:t>: continued</w:t>
      </w:r>
    </w:p>
    <w:p w:rsidR="00B85D6C" w:rsidRDefault="00B85D6C" w:rsidP="0024271D">
      <w:pPr>
        <w:ind w:left="720" w:hanging="720"/>
      </w:pPr>
    </w:p>
    <w:p w:rsidR="00B85D6C" w:rsidRPr="00906EDD" w:rsidRDefault="00B85D6C" w:rsidP="00906EDD">
      <w:pPr>
        <w:ind w:left="720" w:firstLine="630"/>
        <w:rPr>
          <w:b/>
        </w:rPr>
      </w:pPr>
      <w:r w:rsidRPr="00906EDD">
        <w:rPr>
          <w:b/>
        </w:rPr>
        <w:t>Nelson Road</w:t>
      </w:r>
    </w:p>
    <w:p w:rsidR="0070658F" w:rsidRDefault="00B85D6C" w:rsidP="0070658F">
      <w:pPr>
        <w:ind w:left="720" w:hanging="720"/>
        <w:sectPr w:rsidR="0070658F" w:rsidSect="002E2CEE">
          <w:pgSz w:w="15840" w:h="12240" w:orient="landscape"/>
          <w:pgMar w:top="900" w:right="1440" w:bottom="1800" w:left="1440" w:header="720" w:footer="720" w:gutter="0"/>
          <w:cols w:space="720"/>
          <w:docGrid w:linePitch="360"/>
        </w:sectPr>
      </w:pPr>
      <w:r w:rsidRPr="00B85D6C">
        <w:rPr>
          <w:noProof/>
        </w:rPr>
        <w:drawing>
          <wp:inline distT="0" distB="0" distL="0" distR="0" wp14:anchorId="1C4A53FF" wp14:editId="6A85214B">
            <wp:extent cx="8229600" cy="30344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3034493"/>
                    </a:xfrm>
                    <a:prstGeom prst="rect">
                      <a:avLst/>
                    </a:prstGeom>
                    <a:noFill/>
                    <a:ln>
                      <a:noFill/>
                    </a:ln>
                  </pic:spPr>
                </pic:pic>
              </a:graphicData>
            </a:graphic>
          </wp:inline>
        </w:drawing>
      </w:r>
    </w:p>
    <w:p w:rsidR="002B2BCB" w:rsidRPr="002B2BCB" w:rsidRDefault="002B2BCB" w:rsidP="002B2BCB">
      <w:pPr>
        <w:spacing w:after="200"/>
        <w:ind w:left="1354" w:hanging="1440"/>
        <w:contextualSpacing/>
        <w:rPr>
          <w:rFonts w:eastAsiaTheme="minorHAnsi"/>
        </w:rPr>
      </w:pPr>
      <w:r w:rsidRPr="002B2BCB">
        <w:rPr>
          <w:rFonts w:eastAsiaTheme="minorHAnsi"/>
          <w:b/>
        </w:rPr>
        <w:lastRenderedPageBreak/>
        <w:t xml:space="preserve">Appendix </w:t>
      </w:r>
      <w:r>
        <w:rPr>
          <w:rFonts w:eastAsiaTheme="minorHAnsi"/>
          <w:b/>
        </w:rPr>
        <w:t>2</w:t>
      </w:r>
      <w:r w:rsidRPr="002B2BCB">
        <w:rPr>
          <w:rFonts w:eastAsiaTheme="minorHAnsi"/>
          <w:b/>
        </w:rPr>
        <w:t xml:space="preserve">:  </w:t>
      </w:r>
      <w:r w:rsidRPr="002B2BCB">
        <w:rPr>
          <w:rFonts w:eastAsiaTheme="minorHAnsi"/>
        </w:rPr>
        <w:t>Lower Sugar River Channel Catfish Survey</w:t>
      </w:r>
      <w:r w:rsidRPr="002B2BCB">
        <w:rPr>
          <w:rFonts w:eastAsiaTheme="minorHAnsi"/>
          <w:b/>
        </w:rPr>
        <w:t xml:space="preserve"> </w:t>
      </w:r>
      <w:r w:rsidRPr="002B2BCB">
        <w:rPr>
          <w:rFonts w:eastAsiaTheme="minorHAnsi"/>
        </w:rPr>
        <w:t>– 2014</w:t>
      </w:r>
    </w:p>
    <w:p w:rsidR="002B2BCB" w:rsidRPr="002B2BCB" w:rsidRDefault="002B2BCB" w:rsidP="002B2BCB">
      <w:pPr>
        <w:spacing w:after="200"/>
        <w:ind w:left="1260"/>
        <w:contextualSpacing/>
        <w:rPr>
          <w:rFonts w:eastAsiaTheme="minorHAnsi"/>
          <w:b/>
        </w:rPr>
      </w:pPr>
      <w:proofErr w:type="gramStart"/>
      <w:r w:rsidRPr="002B2BCB">
        <w:rPr>
          <w:rFonts w:eastAsiaTheme="minorHAnsi"/>
        </w:rPr>
        <w:t>by</w:t>
      </w:r>
      <w:proofErr w:type="gramEnd"/>
      <w:r w:rsidRPr="002B2BCB">
        <w:rPr>
          <w:rFonts w:eastAsiaTheme="minorHAnsi"/>
        </w:rPr>
        <w:t xml:space="preserve"> Michael Rennicke, Fisheries - South District</w:t>
      </w:r>
    </w:p>
    <w:p w:rsidR="002B2BCB" w:rsidRPr="002B2BCB" w:rsidRDefault="002B2BCB" w:rsidP="002B2BCB">
      <w:pPr>
        <w:spacing w:after="200" w:line="276" w:lineRule="auto"/>
        <w:contextualSpacing/>
        <w:rPr>
          <w:rFonts w:eastAsiaTheme="minorHAnsi"/>
          <w:i/>
        </w:rPr>
      </w:pPr>
    </w:p>
    <w:p w:rsidR="002B2BCB" w:rsidRPr="002B2BCB" w:rsidRDefault="002B2BCB" w:rsidP="002B2BCB">
      <w:pPr>
        <w:spacing w:after="200" w:line="276" w:lineRule="auto"/>
        <w:rPr>
          <w:rFonts w:eastAsiaTheme="minorHAnsi"/>
          <w:i/>
        </w:rPr>
      </w:pPr>
      <w:r w:rsidRPr="002B2BCB">
        <w:rPr>
          <w:rFonts w:eastAsiaTheme="minorHAnsi"/>
          <w:i/>
        </w:rPr>
        <w:t>Methods</w:t>
      </w:r>
    </w:p>
    <w:p w:rsidR="002B2BCB" w:rsidRPr="002B2BCB" w:rsidRDefault="002B2BCB" w:rsidP="002B2BCB">
      <w:pPr>
        <w:spacing w:after="200" w:line="276" w:lineRule="auto"/>
        <w:rPr>
          <w:rFonts w:eastAsiaTheme="minorHAnsi"/>
          <w:i/>
        </w:rPr>
      </w:pPr>
      <w:r w:rsidRPr="002B2BCB">
        <w:rPr>
          <w:rFonts w:eastAsiaTheme="minorHAnsi"/>
        </w:rPr>
        <w:t xml:space="preserve">Ten hoop nets were set in the Sugar River up to 2000 meters upstream and 1000 meters downstream of Nelson Road on September 2, 2014 and fished until September 12, 2014.  Some nets were moved because of siltation and/or catch rates were low.  Each net has nine fiberglass hoops tapering in size from 42 inches to 34 inches outside diameter with black standard mesh size of 1-inch bar.  Nets were baited with approximately 3 pounds of presoaked soy cake inside laundry bags prior to deployment.  Hoop nets are set with the mouth of the net facing downstream with an eight pound mushroom anchor attached at each end to keep the net upright and stationary.  A standard DNR buoy is attached to locate and mark the nets for navigation. </w:t>
      </w:r>
    </w:p>
    <w:p w:rsidR="002B2BCB" w:rsidRPr="002B2BCB" w:rsidRDefault="002B2BCB" w:rsidP="002B2BCB">
      <w:pPr>
        <w:spacing w:after="200" w:line="276" w:lineRule="auto"/>
        <w:rPr>
          <w:rFonts w:eastAsiaTheme="minorHAnsi"/>
          <w:i/>
        </w:rPr>
      </w:pPr>
      <w:r w:rsidRPr="002B2BCB">
        <w:rPr>
          <w:rFonts w:eastAsiaTheme="minorHAnsi"/>
          <w:i/>
        </w:rPr>
        <w:t>Results/Discussion</w:t>
      </w:r>
    </w:p>
    <w:p w:rsidR="002B2BCB" w:rsidRPr="002B2BCB" w:rsidRDefault="002B2BCB" w:rsidP="002B2BCB">
      <w:pPr>
        <w:spacing w:after="200" w:line="276" w:lineRule="auto"/>
        <w:rPr>
          <w:rFonts w:eastAsiaTheme="minorHAnsi"/>
        </w:rPr>
      </w:pPr>
      <w:r w:rsidRPr="002B2BCB">
        <w:rPr>
          <w:rFonts w:eastAsiaTheme="minorHAnsi"/>
        </w:rPr>
        <w:t>Sampling protocol is advised from mid-June through August when water temps are greater than 70°F, and fish are sampled until either 250 fish are sampled or the nets are fished for 100 net nights (Simonson, 2013).  However, staff time and other concurrent projects altered the protocol slightly in terms of effort and timing.</w:t>
      </w:r>
    </w:p>
    <w:p w:rsidR="002B2BCB" w:rsidRPr="002B2BCB" w:rsidRDefault="002B2BCB" w:rsidP="002B2BCB">
      <w:pPr>
        <w:spacing w:after="200" w:line="276" w:lineRule="auto"/>
        <w:rPr>
          <w:b/>
          <w:bCs/>
          <w:color w:val="000000"/>
        </w:rPr>
      </w:pPr>
      <w:r w:rsidRPr="002B2BCB">
        <w:rPr>
          <w:rFonts w:eastAsiaTheme="minorHAnsi"/>
        </w:rPr>
        <w:t xml:space="preserve">Nets were fished for a total of 90 net nights, yielding a total of 232 channel catfish.  Sizes ranged from 6.6 – 29.2 inches, with an average of 14.63 (Figure 1).  The length frequency shows a good distribution of fish from 7 – 26 inches, with the majority of fish less than 14 inches.  The catch per unit of effort (CPUE) for all sizes was 2.58/net night.  In comparison to other hoop net surveys completed in the last 25 years on other Wisconsin waters, CPUE is similar to the average for a lotic system (Figure 2).  Proportional stock density (PSD) was 72.7 and relative stock density (RSD) at 24 inches was 10.3.  PSD for the Sugar River is above the average for a lentic system, but well below the average for a lotic system (Figure 3).  Similarly, the </w:t>
      </w:r>
      <w:r w:rsidRPr="002B2BCB">
        <w:rPr>
          <w:bCs/>
          <w:color w:val="000000"/>
        </w:rPr>
        <w:t>RSD</w:t>
      </w:r>
      <w:r w:rsidRPr="002B2BCB">
        <w:rPr>
          <w:bCs/>
          <w:color w:val="000000"/>
          <w:vertAlign w:val="subscript"/>
        </w:rPr>
        <w:t>24</w:t>
      </w:r>
      <w:r w:rsidRPr="002B2BCB">
        <w:rPr>
          <w:bCs/>
          <w:color w:val="000000"/>
        </w:rPr>
        <w:t xml:space="preserve"> for the Sugar River was also below the average for a lotic system as well as a lentic system (Figure 4).  </w:t>
      </w:r>
      <w:r w:rsidRPr="002B2BCB">
        <w:rPr>
          <w:rFonts w:eastAsiaTheme="minorHAnsi"/>
        </w:rPr>
        <w:t xml:space="preserve">  </w:t>
      </w:r>
    </w:p>
    <w:p w:rsidR="002B2BCB" w:rsidRPr="002B2BCB" w:rsidRDefault="002B2BCB" w:rsidP="002B2BCB">
      <w:pPr>
        <w:spacing w:after="200" w:line="276" w:lineRule="auto"/>
        <w:rPr>
          <w:rFonts w:eastAsiaTheme="minorHAnsi"/>
        </w:rPr>
      </w:pPr>
      <w:r w:rsidRPr="002B2BCB">
        <w:rPr>
          <w:rFonts w:eastAsiaTheme="minorHAnsi"/>
        </w:rPr>
        <w:t>The slight timing and effort difference from what the protocol suggests probably had little effect on the results as water temperatures ranged from 68</w:t>
      </w:r>
      <w:r w:rsidRPr="002B2BCB">
        <w:rPr>
          <w:rFonts w:eastAsiaTheme="minorHAnsi"/>
          <w:vertAlign w:val="superscript"/>
        </w:rPr>
        <w:t>o</w:t>
      </w:r>
      <w:r w:rsidRPr="002B2BCB">
        <w:rPr>
          <w:rFonts w:eastAsiaTheme="minorHAnsi"/>
        </w:rPr>
        <w:t xml:space="preserve"> – 73</w:t>
      </w:r>
      <w:r w:rsidRPr="002B2BCB">
        <w:rPr>
          <w:rFonts w:eastAsiaTheme="minorHAnsi"/>
          <w:vertAlign w:val="superscript"/>
        </w:rPr>
        <w:t>o</w:t>
      </w:r>
      <w:r w:rsidRPr="002B2BCB">
        <w:rPr>
          <w:rFonts w:eastAsiaTheme="minorHAnsi"/>
        </w:rPr>
        <w:t xml:space="preserve">F during the sampling period.  </w:t>
      </w:r>
    </w:p>
    <w:p w:rsidR="002B2BCB" w:rsidRPr="002B2BCB" w:rsidRDefault="002B2BCB" w:rsidP="002B2BCB">
      <w:pPr>
        <w:spacing w:after="200" w:line="276" w:lineRule="auto"/>
        <w:rPr>
          <w:rFonts w:eastAsiaTheme="minorHAnsi"/>
        </w:rPr>
      </w:pPr>
      <w:r w:rsidRPr="002B2BCB">
        <w:rPr>
          <w:rFonts w:eastAsiaTheme="minorHAnsi"/>
        </w:rPr>
        <w:t xml:space="preserve">A simple lentic/lotic break down does not go far enough to fairly compare PSD, RSD, and CPUE values.  A further analysis should be done to compare the statistics of lotic systems to similar systems by average annual flow and also comparison of catch rate for a specific size fish (as well as the aging structures, if available) between systems.  </w:t>
      </w:r>
    </w:p>
    <w:p w:rsidR="002B2BCB" w:rsidRPr="002B2BCB" w:rsidRDefault="002B2BCB" w:rsidP="002B2BCB">
      <w:pPr>
        <w:ind w:left="540" w:hanging="540"/>
      </w:pPr>
      <w:r w:rsidRPr="002B2BCB">
        <w:rPr>
          <w:i/>
        </w:rPr>
        <w:t>Reference</w:t>
      </w:r>
      <w:r w:rsidRPr="002B2BCB">
        <w:t>:</w:t>
      </w:r>
    </w:p>
    <w:p w:rsidR="002B2BCB" w:rsidRPr="002B2BCB" w:rsidRDefault="002B2BCB" w:rsidP="002B2BCB">
      <w:pPr>
        <w:ind w:left="540" w:hanging="540"/>
      </w:pPr>
    </w:p>
    <w:p w:rsidR="002B2BCB" w:rsidRPr="002B2BCB" w:rsidRDefault="002B2BCB" w:rsidP="002B2BCB">
      <w:pPr>
        <w:ind w:left="540" w:hanging="540"/>
      </w:pPr>
      <w:r w:rsidRPr="002B2BCB">
        <w:t xml:space="preserve">Simonson, Timothy. 2013. Fisheries management handbook (update).  Chapter: Surveys and Investigations.  Section:  Inland Fisheries Surveys.  </w:t>
      </w:r>
      <w:proofErr w:type="gramStart"/>
      <w:r w:rsidRPr="002B2BCB">
        <w:t>Section 510.</w:t>
      </w:r>
      <w:proofErr w:type="gramEnd"/>
      <w:r w:rsidRPr="002B2BCB">
        <w:t xml:space="preserve">  September, 2013.</w:t>
      </w:r>
    </w:p>
    <w:p w:rsidR="002B2BCB" w:rsidRPr="002B2BCB" w:rsidRDefault="002B2BCB" w:rsidP="002B2BCB">
      <w:pPr>
        <w:spacing w:after="200" w:line="276" w:lineRule="auto"/>
      </w:pPr>
      <w:r w:rsidRPr="002B2BCB">
        <w:br w:type="page"/>
      </w:r>
    </w:p>
    <w:p w:rsidR="002B2BCB" w:rsidRPr="002B2BCB" w:rsidRDefault="002B2BCB" w:rsidP="002B2BCB">
      <w:pPr>
        <w:ind w:left="540" w:hanging="540"/>
        <w:rPr>
          <w:rFonts w:eastAsiaTheme="minorHAnsi"/>
        </w:rPr>
      </w:pPr>
      <w:r w:rsidRPr="002B2BCB">
        <w:rPr>
          <w:rFonts w:eastAsiaTheme="minorHAnsi"/>
          <w:b/>
        </w:rPr>
        <w:lastRenderedPageBreak/>
        <w:t xml:space="preserve">Appendix </w:t>
      </w:r>
      <w:r>
        <w:rPr>
          <w:rFonts w:eastAsiaTheme="minorHAnsi"/>
          <w:b/>
        </w:rPr>
        <w:t>2</w:t>
      </w:r>
      <w:r w:rsidRPr="002B2BCB">
        <w:rPr>
          <w:rFonts w:eastAsiaTheme="minorHAnsi"/>
        </w:rPr>
        <w:t>: continued</w:t>
      </w:r>
    </w:p>
    <w:p w:rsidR="002B2BCB" w:rsidRPr="002B2BCB" w:rsidRDefault="002B2BCB" w:rsidP="002B2BCB">
      <w:pPr>
        <w:ind w:left="540" w:hanging="540"/>
        <w:rPr>
          <w:rFonts w:eastAsiaTheme="minorHAnsi"/>
        </w:rPr>
      </w:pPr>
    </w:p>
    <w:p w:rsidR="002B2BCB" w:rsidRPr="002B2BCB" w:rsidRDefault="002B2BCB" w:rsidP="002B2BCB">
      <w:pPr>
        <w:ind w:left="540" w:hanging="540"/>
        <w:rPr>
          <w:rFonts w:eastAsiaTheme="minorHAnsi"/>
        </w:rPr>
      </w:pPr>
      <w:r w:rsidRPr="002B2BCB">
        <w:rPr>
          <w:rFonts w:eastAsiaTheme="minorHAnsi"/>
          <w:b/>
        </w:rPr>
        <w:t>Figure 1</w:t>
      </w:r>
      <w:r w:rsidRPr="002B2BCB">
        <w:rPr>
          <w:rFonts w:eastAsiaTheme="minorHAnsi"/>
        </w:rPr>
        <w:t>:  Channel Catfish Length Frequency</w:t>
      </w:r>
    </w:p>
    <w:p w:rsidR="002B2BCB" w:rsidRPr="002B2BCB" w:rsidRDefault="002B2BCB" w:rsidP="002B2BCB">
      <w:pPr>
        <w:ind w:left="540" w:hanging="540"/>
        <w:rPr>
          <w:rFonts w:eastAsiaTheme="minorHAnsi"/>
        </w:rPr>
      </w:pPr>
      <w:r w:rsidRPr="002B2BCB">
        <w:rPr>
          <w:rFonts w:asciiTheme="minorHAnsi" w:eastAsiaTheme="minorHAnsi" w:hAnsiTheme="minorHAnsi" w:cstheme="minorBidi"/>
          <w:noProof/>
          <w:sz w:val="22"/>
          <w:szCs w:val="22"/>
        </w:rPr>
        <w:drawing>
          <wp:inline distT="0" distB="0" distL="0" distR="0" wp14:anchorId="454B6464" wp14:editId="78572E5C">
            <wp:extent cx="5943600" cy="3395345"/>
            <wp:effectExtent l="0" t="0" r="1905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2BCB" w:rsidRPr="002B2BCB" w:rsidRDefault="002B2BCB" w:rsidP="002B2BCB">
      <w:pPr>
        <w:ind w:left="540" w:hanging="540"/>
        <w:rPr>
          <w:rFonts w:eastAsiaTheme="minorHAnsi"/>
        </w:rPr>
      </w:pPr>
    </w:p>
    <w:p w:rsidR="002B2BCB" w:rsidRPr="002B2BCB" w:rsidRDefault="002B2BCB" w:rsidP="002B2BCB">
      <w:pPr>
        <w:ind w:left="540" w:hanging="540"/>
        <w:rPr>
          <w:rFonts w:eastAsiaTheme="minorHAnsi"/>
        </w:rPr>
      </w:pPr>
    </w:p>
    <w:p w:rsidR="002B2BCB" w:rsidRPr="002B2BCB" w:rsidRDefault="002B2BCB" w:rsidP="002B2BCB">
      <w:pPr>
        <w:ind w:left="540" w:hanging="540"/>
        <w:rPr>
          <w:rFonts w:eastAsiaTheme="minorHAnsi"/>
          <w:sz w:val="18"/>
          <w:szCs w:val="18"/>
        </w:rPr>
      </w:pPr>
      <w:r w:rsidRPr="002B2BCB">
        <w:rPr>
          <w:rFonts w:eastAsiaTheme="minorHAnsi"/>
          <w:b/>
        </w:rPr>
        <w:t>Figure 2</w:t>
      </w:r>
      <w:r w:rsidRPr="002B2BCB">
        <w:rPr>
          <w:rFonts w:eastAsiaTheme="minorHAnsi"/>
        </w:rPr>
        <w:t xml:space="preserve">: CPUE of Channel Catfish in Wisconsin Waters </w:t>
      </w:r>
      <w:r w:rsidRPr="002B2BCB">
        <w:rPr>
          <w:rFonts w:eastAsiaTheme="minorHAnsi"/>
          <w:sz w:val="18"/>
          <w:szCs w:val="18"/>
        </w:rPr>
        <w:t>(Lentic and Lotic Average of last 25 years)</w:t>
      </w:r>
    </w:p>
    <w:p w:rsidR="002B2BCB" w:rsidRPr="002B2BCB" w:rsidRDefault="002B2BCB" w:rsidP="002B2BCB">
      <w:pPr>
        <w:ind w:left="540" w:hanging="540"/>
        <w:rPr>
          <w:rFonts w:eastAsiaTheme="minorHAnsi"/>
        </w:rPr>
      </w:pPr>
      <w:r w:rsidRPr="002B2BCB">
        <w:rPr>
          <w:rFonts w:asciiTheme="minorHAnsi" w:eastAsiaTheme="minorHAnsi" w:hAnsiTheme="minorHAnsi" w:cstheme="minorBidi"/>
          <w:noProof/>
          <w:sz w:val="22"/>
          <w:szCs w:val="22"/>
        </w:rPr>
        <w:drawing>
          <wp:inline distT="0" distB="0" distL="0" distR="0" wp14:anchorId="439A7E0D" wp14:editId="18E29184">
            <wp:extent cx="5943600" cy="3402330"/>
            <wp:effectExtent l="0" t="0" r="19050" b="266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2BCB" w:rsidRPr="002B2BCB" w:rsidRDefault="002B2BCB" w:rsidP="002B2BCB">
      <w:pPr>
        <w:spacing w:after="200" w:line="276" w:lineRule="auto"/>
        <w:rPr>
          <w:rFonts w:eastAsiaTheme="minorHAnsi"/>
        </w:rPr>
      </w:pPr>
      <w:r w:rsidRPr="002B2BCB">
        <w:rPr>
          <w:rFonts w:eastAsiaTheme="minorHAnsi"/>
        </w:rPr>
        <w:br w:type="page"/>
      </w:r>
    </w:p>
    <w:p w:rsidR="002B2BCB" w:rsidRPr="002B2BCB" w:rsidRDefault="002B2BCB" w:rsidP="002B2BCB">
      <w:pPr>
        <w:ind w:left="540" w:hanging="540"/>
        <w:rPr>
          <w:rFonts w:eastAsiaTheme="minorHAnsi"/>
        </w:rPr>
      </w:pPr>
      <w:r w:rsidRPr="002B2BCB">
        <w:rPr>
          <w:rFonts w:eastAsiaTheme="minorHAnsi"/>
          <w:b/>
        </w:rPr>
        <w:lastRenderedPageBreak/>
        <w:t xml:space="preserve">Appendix </w:t>
      </w:r>
      <w:r w:rsidR="00512C03">
        <w:rPr>
          <w:rFonts w:eastAsiaTheme="minorHAnsi"/>
          <w:b/>
        </w:rPr>
        <w:t>2</w:t>
      </w:r>
      <w:r w:rsidRPr="002B2BCB">
        <w:rPr>
          <w:rFonts w:eastAsiaTheme="minorHAnsi"/>
        </w:rPr>
        <w:t>: continued</w:t>
      </w:r>
    </w:p>
    <w:p w:rsidR="002B2BCB" w:rsidRPr="002B2BCB" w:rsidRDefault="002B2BCB" w:rsidP="002B2BCB">
      <w:pPr>
        <w:ind w:left="540" w:hanging="540"/>
        <w:rPr>
          <w:rFonts w:eastAsiaTheme="minorHAnsi"/>
        </w:rPr>
      </w:pPr>
    </w:p>
    <w:p w:rsidR="002B2BCB" w:rsidRPr="002B2BCB" w:rsidRDefault="002B2BCB" w:rsidP="002B2BCB">
      <w:pPr>
        <w:ind w:left="540" w:hanging="540"/>
        <w:rPr>
          <w:rFonts w:eastAsiaTheme="minorHAnsi"/>
        </w:rPr>
      </w:pPr>
      <w:r w:rsidRPr="002B2BCB">
        <w:rPr>
          <w:rFonts w:eastAsiaTheme="minorHAnsi"/>
          <w:b/>
        </w:rPr>
        <w:t>Figure 3</w:t>
      </w:r>
      <w:r w:rsidRPr="002B2BCB">
        <w:rPr>
          <w:rFonts w:eastAsiaTheme="minorHAnsi"/>
        </w:rPr>
        <w:t>: PSD</w:t>
      </w:r>
      <w:r w:rsidRPr="002B2BCB">
        <w:rPr>
          <w:rFonts w:eastAsiaTheme="minorHAnsi"/>
          <w:vertAlign w:val="subscript"/>
        </w:rPr>
        <w:t>16</w:t>
      </w:r>
      <w:r w:rsidRPr="002B2BCB">
        <w:rPr>
          <w:rFonts w:eastAsiaTheme="minorHAnsi"/>
        </w:rPr>
        <w:t xml:space="preserve"> of Channel Catfish in Wisconsin Waters </w:t>
      </w:r>
      <w:r w:rsidRPr="002B2BCB">
        <w:rPr>
          <w:rFonts w:eastAsiaTheme="minorHAnsi"/>
          <w:sz w:val="18"/>
          <w:szCs w:val="18"/>
        </w:rPr>
        <w:t>(Lentic and Lotic Average of last 25 years)</w:t>
      </w:r>
    </w:p>
    <w:p w:rsidR="002B2BCB" w:rsidRPr="002B2BCB" w:rsidRDefault="002B2BCB" w:rsidP="002B2BCB">
      <w:pPr>
        <w:ind w:left="540" w:hanging="540"/>
        <w:rPr>
          <w:rFonts w:eastAsiaTheme="minorHAnsi"/>
        </w:rPr>
      </w:pPr>
      <w:r w:rsidRPr="002B2BCB">
        <w:rPr>
          <w:rFonts w:asciiTheme="minorHAnsi" w:eastAsiaTheme="minorHAnsi" w:hAnsiTheme="minorHAnsi" w:cstheme="minorBidi"/>
          <w:noProof/>
          <w:sz w:val="22"/>
          <w:szCs w:val="22"/>
        </w:rPr>
        <w:drawing>
          <wp:inline distT="0" distB="0" distL="0" distR="0" wp14:anchorId="46F531CB" wp14:editId="47842578">
            <wp:extent cx="5740842" cy="3331597"/>
            <wp:effectExtent l="0" t="0" r="12700" b="215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2BCB" w:rsidRPr="002B2BCB" w:rsidRDefault="002B2BCB" w:rsidP="002B2BCB">
      <w:pPr>
        <w:ind w:left="540" w:hanging="540"/>
        <w:rPr>
          <w:rFonts w:eastAsiaTheme="minorHAnsi"/>
        </w:rPr>
      </w:pPr>
    </w:p>
    <w:p w:rsidR="002B2BCB" w:rsidRDefault="002B2BCB" w:rsidP="002B2BCB">
      <w:pPr>
        <w:ind w:left="540" w:hanging="540"/>
        <w:rPr>
          <w:rFonts w:eastAsiaTheme="minorHAnsi"/>
        </w:rPr>
      </w:pPr>
    </w:p>
    <w:p w:rsidR="002B2BCB" w:rsidRPr="002B2BCB" w:rsidRDefault="002B2BCB" w:rsidP="002B2BCB">
      <w:pPr>
        <w:ind w:left="540" w:hanging="540"/>
        <w:rPr>
          <w:rFonts w:eastAsiaTheme="minorHAnsi"/>
        </w:rPr>
      </w:pPr>
    </w:p>
    <w:p w:rsidR="0070658F" w:rsidRDefault="002B2BCB" w:rsidP="002B2BCB">
      <w:pPr>
        <w:ind w:left="540" w:hanging="540"/>
      </w:pPr>
      <w:r w:rsidRPr="002B2BCB">
        <w:rPr>
          <w:rFonts w:eastAsiaTheme="minorHAnsi"/>
          <w:b/>
        </w:rPr>
        <w:t>Figure 4</w:t>
      </w:r>
      <w:r w:rsidRPr="002B2BCB">
        <w:rPr>
          <w:rFonts w:eastAsiaTheme="minorHAnsi"/>
        </w:rPr>
        <w:t>: RSD</w:t>
      </w:r>
      <w:r w:rsidRPr="002B2BCB">
        <w:rPr>
          <w:rFonts w:eastAsiaTheme="minorHAnsi"/>
          <w:vertAlign w:val="subscript"/>
        </w:rPr>
        <w:t>24</w:t>
      </w:r>
      <w:r w:rsidRPr="002B2BCB">
        <w:rPr>
          <w:rFonts w:eastAsiaTheme="minorHAnsi"/>
        </w:rPr>
        <w:t xml:space="preserve"> of Channel Catfish in Wisconsin Waters </w:t>
      </w:r>
      <w:r w:rsidRPr="002B2BCB">
        <w:rPr>
          <w:rFonts w:eastAsiaTheme="minorHAnsi"/>
          <w:sz w:val="18"/>
          <w:szCs w:val="18"/>
        </w:rPr>
        <w:t>(Lentic and Lotic Average of last 25 years)</w:t>
      </w:r>
    </w:p>
    <w:p w:rsidR="0070658F" w:rsidRDefault="002B2BCB">
      <w:r>
        <w:rPr>
          <w:noProof/>
        </w:rPr>
        <w:drawing>
          <wp:inline distT="0" distB="0" distL="0" distR="0" wp14:anchorId="577A1F18" wp14:editId="0307BBA2">
            <wp:extent cx="5740842" cy="3355451"/>
            <wp:effectExtent l="0" t="0" r="1270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70658F">
        <w:br w:type="page"/>
      </w:r>
    </w:p>
    <w:p w:rsidR="00381450" w:rsidRDefault="00381450" w:rsidP="0024271D">
      <w:pPr>
        <w:ind w:left="720" w:hanging="720"/>
        <w:sectPr w:rsidR="00381450" w:rsidSect="0070658F">
          <w:pgSz w:w="12240" w:h="15840"/>
          <w:pgMar w:top="1440" w:right="1800" w:bottom="1440" w:left="900" w:header="720" w:footer="720" w:gutter="0"/>
          <w:cols w:space="720"/>
          <w:docGrid w:linePitch="360"/>
        </w:sectPr>
      </w:pPr>
    </w:p>
    <w:p w:rsidR="00381450" w:rsidRDefault="00381450" w:rsidP="0024271D">
      <w:pPr>
        <w:ind w:left="720" w:hanging="720"/>
      </w:pPr>
      <w:r w:rsidRPr="0070658F">
        <w:rPr>
          <w:b/>
        </w:rPr>
        <w:lastRenderedPageBreak/>
        <w:t xml:space="preserve">Appendix </w:t>
      </w:r>
      <w:r w:rsidR="0070658F" w:rsidRPr="0070658F">
        <w:rPr>
          <w:b/>
        </w:rPr>
        <w:t>3</w:t>
      </w:r>
      <w:r>
        <w:t>: Pictures</w:t>
      </w:r>
    </w:p>
    <w:p w:rsidR="00131B8E" w:rsidRDefault="00131B8E">
      <w:r>
        <w:rPr>
          <w:noProof/>
        </w:rPr>
        <w:drawing>
          <wp:inline distT="0" distB="0" distL="0" distR="0">
            <wp:extent cx="5334000" cy="3999485"/>
            <wp:effectExtent l="0" t="0" r="0" b="1270"/>
            <wp:docPr id="15" name="Picture 15" descr="C:\Users\amrhej\Pictures\Sugar River Mainstem (2014)\CTH C\P819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rhej\Pictures\Sugar River Mainstem (2014)\CTH C\P81901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3660" cy="4006728"/>
                    </a:xfrm>
                    <a:prstGeom prst="rect">
                      <a:avLst/>
                    </a:prstGeom>
                    <a:noFill/>
                    <a:ln>
                      <a:noFill/>
                    </a:ln>
                  </pic:spPr>
                </pic:pic>
              </a:graphicData>
            </a:graphic>
          </wp:inline>
        </w:drawing>
      </w:r>
    </w:p>
    <w:p w:rsidR="00131B8E" w:rsidRDefault="00131B8E">
      <w:r>
        <w:t>Typical floodplain forest of the Sugar River</w:t>
      </w:r>
    </w:p>
    <w:p w:rsidR="00131B8E" w:rsidRDefault="00131B8E"/>
    <w:p w:rsidR="00381450" w:rsidRDefault="00E34A7A">
      <w:r>
        <w:rPr>
          <w:noProof/>
        </w:rPr>
        <w:drawing>
          <wp:inline distT="0" distB="0" distL="0" distR="0">
            <wp:extent cx="5335356" cy="4000500"/>
            <wp:effectExtent l="0" t="0" r="0" b="0"/>
            <wp:docPr id="23" name="Picture 23" descr="C:\Users\amrhej\Pictures\Sugar River Mainstem (2014)\STH 92\P818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rhej\Pictures\Sugar River Mainstem (2014)\STH 92\P81801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7537" cy="4002135"/>
                    </a:xfrm>
                    <a:prstGeom prst="rect">
                      <a:avLst/>
                    </a:prstGeom>
                    <a:noFill/>
                    <a:ln>
                      <a:noFill/>
                    </a:ln>
                  </pic:spPr>
                </pic:pic>
              </a:graphicData>
            </a:graphic>
          </wp:inline>
        </w:drawing>
      </w:r>
    </w:p>
    <w:p w:rsidR="00B85D6C" w:rsidRDefault="00131B8E" w:rsidP="0024271D">
      <w:pPr>
        <w:ind w:left="720" w:hanging="720"/>
      </w:pPr>
      <w:r>
        <w:t>Typical floodplain meadow of the Sugar River</w:t>
      </w:r>
    </w:p>
    <w:p w:rsidR="0082387F" w:rsidRDefault="0082387F">
      <w:r>
        <w:br w:type="page"/>
      </w:r>
    </w:p>
    <w:p w:rsidR="00381450" w:rsidRDefault="0082387F" w:rsidP="0024271D">
      <w:pPr>
        <w:ind w:left="720" w:hanging="720"/>
      </w:pPr>
      <w:r w:rsidRPr="0070658F">
        <w:rPr>
          <w:b/>
        </w:rPr>
        <w:lastRenderedPageBreak/>
        <w:t xml:space="preserve">Appendix </w:t>
      </w:r>
      <w:r w:rsidR="0070658F" w:rsidRPr="0070658F">
        <w:rPr>
          <w:b/>
        </w:rPr>
        <w:t>3</w:t>
      </w:r>
      <w:r>
        <w:t>: continued</w:t>
      </w:r>
    </w:p>
    <w:p w:rsidR="00381450" w:rsidRDefault="00381450" w:rsidP="0024271D">
      <w:pPr>
        <w:ind w:left="720" w:hanging="720"/>
      </w:pPr>
      <w:r>
        <w:rPr>
          <w:noProof/>
        </w:rPr>
        <w:drawing>
          <wp:inline distT="0" distB="0" distL="0" distR="0" wp14:anchorId="286EDAEE" wp14:editId="3FD195A2">
            <wp:extent cx="4886325" cy="3663813"/>
            <wp:effectExtent l="0" t="0" r="0" b="0"/>
            <wp:docPr id="12" name="Picture 12" descr="C:\Users\amrhej\Pictures\Sugar River Mainstem (2014)\STH 92\P81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rhej\Pictures\Sugar River Mainstem (2014)\STH 92\P81802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4051" cy="3669606"/>
                    </a:xfrm>
                    <a:prstGeom prst="rect">
                      <a:avLst/>
                    </a:prstGeom>
                    <a:noFill/>
                    <a:ln>
                      <a:noFill/>
                    </a:ln>
                  </pic:spPr>
                </pic:pic>
              </a:graphicData>
            </a:graphic>
          </wp:inline>
        </w:drawing>
      </w:r>
    </w:p>
    <w:p w:rsidR="00381450" w:rsidRDefault="00381450" w:rsidP="0024271D">
      <w:pPr>
        <w:ind w:left="720" w:hanging="720"/>
      </w:pPr>
      <w:r>
        <w:t>Measuring length of gamefish species</w:t>
      </w:r>
    </w:p>
    <w:p w:rsidR="00381450" w:rsidRDefault="00381450" w:rsidP="0024271D">
      <w:pPr>
        <w:ind w:left="720" w:hanging="720"/>
      </w:pPr>
    </w:p>
    <w:p w:rsidR="00381450" w:rsidRDefault="00381450" w:rsidP="0024271D">
      <w:pPr>
        <w:ind w:left="720" w:hanging="720"/>
      </w:pPr>
    </w:p>
    <w:p w:rsidR="00381450" w:rsidRDefault="00381450" w:rsidP="0024271D">
      <w:pPr>
        <w:ind w:left="720" w:hanging="720"/>
      </w:pPr>
      <w:r>
        <w:rPr>
          <w:noProof/>
        </w:rPr>
        <w:drawing>
          <wp:inline distT="0" distB="0" distL="0" distR="0" wp14:anchorId="620793A8" wp14:editId="57B886AC">
            <wp:extent cx="3295650" cy="4395318"/>
            <wp:effectExtent l="0" t="0" r="0" b="5715"/>
            <wp:docPr id="13" name="Picture 13" descr="C:\Users\amrhej\Pictures\Sugar River Mainstem (2014)\STH 92\P818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rhej\Pictures\Sugar River Mainstem (2014)\STH 92\P81802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5348" cy="4408252"/>
                    </a:xfrm>
                    <a:prstGeom prst="rect">
                      <a:avLst/>
                    </a:prstGeom>
                    <a:noFill/>
                    <a:ln>
                      <a:noFill/>
                    </a:ln>
                  </pic:spPr>
                </pic:pic>
              </a:graphicData>
            </a:graphic>
          </wp:inline>
        </w:drawing>
      </w:r>
    </w:p>
    <w:p w:rsidR="00381450" w:rsidRDefault="00381450" w:rsidP="0082387F">
      <w:pPr>
        <w:ind w:left="720" w:hanging="720"/>
      </w:pPr>
      <w:r>
        <w:t>Measuring weight of gamefish species</w:t>
      </w:r>
      <w:r>
        <w:br w:type="page"/>
      </w:r>
    </w:p>
    <w:p w:rsidR="00381450" w:rsidRDefault="00381450" w:rsidP="0024271D">
      <w:pPr>
        <w:ind w:left="720" w:hanging="720"/>
      </w:pPr>
      <w:r w:rsidRPr="0070658F">
        <w:rPr>
          <w:b/>
        </w:rPr>
        <w:lastRenderedPageBreak/>
        <w:t xml:space="preserve">Appendix </w:t>
      </w:r>
      <w:r w:rsidR="0070658F" w:rsidRPr="0070658F">
        <w:rPr>
          <w:b/>
        </w:rPr>
        <w:t>3</w:t>
      </w:r>
      <w:r>
        <w:t>: continued</w:t>
      </w:r>
    </w:p>
    <w:p w:rsidR="00381450" w:rsidRDefault="00381450" w:rsidP="0024271D">
      <w:pPr>
        <w:ind w:left="720" w:hanging="720"/>
      </w:pPr>
      <w:r>
        <w:rPr>
          <w:noProof/>
        </w:rPr>
        <w:drawing>
          <wp:inline distT="0" distB="0" distL="0" distR="0">
            <wp:extent cx="5410200" cy="4056618"/>
            <wp:effectExtent l="0" t="0" r="0" b="1270"/>
            <wp:docPr id="14" name="Picture 14" descr="C:\Users\amrhej\Pictures\Sugar River Mainstem (2014)\CTH C\P819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rhej\Pictures\Sugar River Mainstem (2014)\CTH C\P81901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0200" cy="4056618"/>
                    </a:xfrm>
                    <a:prstGeom prst="rect">
                      <a:avLst/>
                    </a:prstGeom>
                    <a:noFill/>
                    <a:ln>
                      <a:noFill/>
                    </a:ln>
                  </pic:spPr>
                </pic:pic>
              </a:graphicData>
            </a:graphic>
          </wp:inline>
        </w:drawing>
      </w:r>
    </w:p>
    <w:p w:rsidR="00131B8E" w:rsidRDefault="00131B8E" w:rsidP="0024271D">
      <w:pPr>
        <w:ind w:left="720" w:hanging="720"/>
      </w:pPr>
      <w:r>
        <w:t>Net full of redhorse</w:t>
      </w:r>
    </w:p>
    <w:p w:rsidR="00131B8E" w:rsidRDefault="00131B8E" w:rsidP="0024271D">
      <w:pPr>
        <w:ind w:left="720" w:hanging="720"/>
      </w:pPr>
    </w:p>
    <w:p w:rsidR="0082387F" w:rsidRDefault="0082387F">
      <w:r>
        <w:rPr>
          <w:noProof/>
        </w:rPr>
        <w:drawing>
          <wp:inline distT="0" distB="0" distL="0" distR="0" wp14:anchorId="78151887" wp14:editId="5C5AE190">
            <wp:extent cx="5410200" cy="4056619"/>
            <wp:effectExtent l="0" t="0" r="0" b="1270"/>
            <wp:docPr id="20" name="Picture 20" descr="C:\Users\amrhej\Pictures\Sugar River Mainstem (2014)\CTH F\P82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rhej\Pictures\Sugar River Mainstem (2014)\CTH F\P82002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0200" cy="4056619"/>
                    </a:xfrm>
                    <a:prstGeom prst="rect">
                      <a:avLst/>
                    </a:prstGeom>
                    <a:noFill/>
                    <a:ln>
                      <a:noFill/>
                    </a:ln>
                  </pic:spPr>
                </pic:pic>
              </a:graphicData>
            </a:graphic>
          </wp:inline>
        </w:drawing>
      </w:r>
    </w:p>
    <w:p w:rsidR="00E954B6" w:rsidRDefault="0082387F">
      <w:r>
        <w:t>Mixed bag of fish (CTH F)</w:t>
      </w:r>
      <w:r w:rsidR="00E954B6">
        <w:br w:type="page"/>
      </w:r>
    </w:p>
    <w:p w:rsidR="00131B8E" w:rsidRDefault="00E954B6" w:rsidP="0024271D">
      <w:pPr>
        <w:ind w:left="720" w:hanging="720"/>
      </w:pPr>
      <w:r w:rsidRPr="0070658F">
        <w:rPr>
          <w:b/>
        </w:rPr>
        <w:lastRenderedPageBreak/>
        <w:t xml:space="preserve">Appendix </w:t>
      </w:r>
      <w:r w:rsidR="0070658F" w:rsidRPr="0070658F">
        <w:rPr>
          <w:b/>
        </w:rPr>
        <w:t>3</w:t>
      </w:r>
      <w:r>
        <w:t>:</w:t>
      </w:r>
      <w:r w:rsidR="00E34A7A">
        <w:t xml:space="preserve"> continued</w:t>
      </w:r>
    </w:p>
    <w:p w:rsidR="00131B8E" w:rsidRDefault="00E954B6" w:rsidP="0024271D">
      <w:pPr>
        <w:ind w:left="720" w:hanging="720"/>
      </w:pPr>
      <w:r>
        <w:rPr>
          <w:noProof/>
        </w:rPr>
        <w:drawing>
          <wp:inline distT="0" distB="0" distL="0" distR="0">
            <wp:extent cx="5343525" cy="4006625"/>
            <wp:effectExtent l="0" t="0" r="0" b="0"/>
            <wp:docPr id="17" name="Picture 17" descr="C:\Users\amrhej\Pictures\Sugar River Mainstem (2014)\CTH EE\P819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rhej\Pictures\Sugar River Mainstem (2014)\CTH EE\P81902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3525" cy="4006625"/>
                    </a:xfrm>
                    <a:prstGeom prst="rect">
                      <a:avLst/>
                    </a:prstGeom>
                    <a:noFill/>
                    <a:ln>
                      <a:noFill/>
                    </a:ln>
                  </pic:spPr>
                </pic:pic>
              </a:graphicData>
            </a:graphic>
          </wp:inline>
        </w:drawing>
      </w:r>
    </w:p>
    <w:p w:rsidR="00E954B6" w:rsidRDefault="00E954B6" w:rsidP="0024271D">
      <w:pPr>
        <w:ind w:left="720" w:hanging="720"/>
      </w:pPr>
      <w:r>
        <w:t xml:space="preserve">Woody debris on the Sugar River </w:t>
      </w:r>
    </w:p>
    <w:p w:rsidR="001B1CEE" w:rsidRDefault="001B1CEE" w:rsidP="0024271D">
      <w:pPr>
        <w:ind w:left="720" w:hanging="720"/>
      </w:pPr>
    </w:p>
    <w:p w:rsidR="001B1CEE" w:rsidRDefault="001B1CEE">
      <w:r>
        <w:rPr>
          <w:noProof/>
        </w:rPr>
        <w:drawing>
          <wp:inline distT="0" distB="0" distL="0" distR="0">
            <wp:extent cx="5410200" cy="4056618"/>
            <wp:effectExtent l="0" t="0" r="0" b="1270"/>
            <wp:docPr id="24" name="Picture 24" descr="C:\Users\amrhej\Pictures\Sugar River Mainstem (2014)\CTH EE\P819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rhej\Pictures\Sugar River Mainstem (2014)\CTH EE\P8190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0200" cy="4056618"/>
                    </a:xfrm>
                    <a:prstGeom prst="rect">
                      <a:avLst/>
                    </a:prstGeom>
                    <a:noFill/>
                    <a:ln>
                      <a:noFill/>
                    </a:ln>
                  </pic:spPr>
                </pic:pic>
              </a:graphicData>
            </a:graphic>
          </wp:inline>
        </w:drawing>
      </w:r>
    </w:p>
    <w:p w:rsidR="003127B9" w:rsidRDefault="001B1CEE">
      <w:r>
        <w:t>Woody debris on the Sugar River</w:t>
      </w:r>
      <w:r w:rsidR="003127B9">
        <w:br w:type="page"/>
      </w:r>
    </w:p>
    <w:p w:rsidR="00E954B6" w:rsidRDefault="00E954B6"/>
    <w:p w:rsidR="00E954B6" w:rsidRDefault="00E954B6" w:rsidP="0024271D">
      <w:pPr>
        <w:ind w:left="720" w:hanging="720"/>
      </w:pPr>
      <w:r w:rsidRPr="00C01494">
        <w:rPr>
          <w:b/>
        </w:rPr>
        <w:t xml:space="preserve">Appendix </w:t>
      </w:r>
      <w:r w:rsidR="0070658F">
        <w:rPr>
          <w:b/>
        </w:rPr>
        <w:t>3</w:t>
      </w:r>
      <w:r>
        <w:t>: continued</w:t>
      </w:r>
    </w:p>
    <w:p w:rsidR="00E954B6" w:rsidRDefault="00E954B6" w:rsidP="0024271D">
      <w:pPr>
        <w:ind w:left="720" w:hanging="720"/>
      </w:pPr>
      <w:r>
        <w:rPr>
          <w:noProof/>
        </w:rPr>
        <w:drawing>
          <wp:inline distT="0" distB="0" distL="0" distR="0">
            <wp:extent cx="5391150" cy="4042335"/>
            <wp:effectExtent l="0" t="0" r="0" b="0"/>
            <wp:docPr id="18" name="Picture 18" descr="C:\Users\amrhej\Pictures\Sugar River Mainstem (2014)\CTH F\P82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rhej\Pictures\Sugar River Mainstem (2014)\CTH F\P82001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1150" cy="4042335"/>
                    </a:xfrm>
                    <a:prstGeom prst="rect">
                      <a:avLst/>
                    </a:prstGeom>
                    <a:noFill/>
                    <a:ln>
                      <a:noFill/>
                    </a:ln>
                  </pic:spPr>
                </pic:pic>
              </a:graphicData>
            </a:graphic>
          </wp:inline>
        </w:drawing>
      </w:r>
    </w:p>
    <w:p w:rsidR="00E954B6" w:rsidRDefault="00E954B6" w:rsidP="0024271D">
      <w:pPr>
        <w:ind w:left="720" w:hanging="720"/>
      </w:pPr>
      <w:r>
        <w:t xml:space="preserve">Eroding bank </w:t>
      </w:r>
      <w:r w:rsidR="00C01494">
        <w:t>(</w:t>
      </w:r>
      <w:r>
        <w:t>upstream of CTH F</w:t>
      </w:r>
      <w:r w:rsidR="00C01494">
        <w:t>)</w:t>
      </w:r>
    </w:p>
    <w:p w:rsidR="00E954B6" w:rsidRDefault="00E954B6" w:rsidP="0024271D">
      <w:pPr>
        <w:ind w:left="720" w:hanging="720"/>
      </w:pPr>
    </w:p>
    <w:p w:rsidR="00C01494" w:rsidRDefault="00E954B6" w:rsidP="0024271D">
      <w:pPr>
        <w:ind w:left="720" w:hanging="720"/>
      </w:pPr>
      <w:r>
        <w:rPr>
          <w:noProof/>
        </w:rPr>
        <w:drawing>
          <wp:inline distT="0" distB="0" distL="0" distR="0">
            <wp:extent cx="5373467" cy="4029075"/>
            <wp:effectExtent l="0" t="0" r="0" b="0"/>
            <wp:docPr id="19" name="Picture 19" descr="C:\Users\amrhej\Pictures\Sugar River Mainstem (2014)\CTH F\P82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rhej\Pictures\Sugar River Mainstem (2014)\CTH F\P82001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1024" cy="4034741"/>
                    </a:xfrm>
                    <a:prstGeom prst="rect">
                      <a:avLst/>
                    </a:prstGeom>
                    <a:noFill/>
                    <a:ln>
                      <a:noFill/>
                    </a:ln>
                  </pic:spPr>
                </pic:pic>
              </a:graphicData>
            </a:graphic>
          </wp:inline>
        </w:drawing>
      </w:r>
    </w:p>
    <w:p w:rsidR="00C01494" w:rsidRDefault="00C01494">
      <w:r>
        <w:t>Rip-rap along bank (upstream CTH F)</w:t>
      </w:r>
      <w:r>
        <w:br w:type="page"/>
      </w:r>
    </w:p>
    <w:p w:rsidR="00E954B6" w:rsidRDefault="00E954B6" w:rsidP="0024271D">
      <w:pPr>
        <w:ind w:left="720" w:hanging="720"/>
      </w:pPr>
    </w:p>
    <w:p w:rsidR="00E954B6" w:rsidRDefault="00E954B6">
      <w:r w:rsidRPr="00C01494">
        <w:rPr>
          <w:b/>
        </w:rPr>
        <w:t xml:space="preserve">Appendix </w:t>
      </w:r>
      <w:r w:rsidR="0070658F">
        <w:rPr>
          <w:b/>
        </w:rPr>
        <w:t>3</w:t>
      </w:r>
      <w:r>
        <w:t>: continued</w:t>
      </w:r>
    </w:p>
    <w:p w:rsidR="003127B9" w:rsidRDefault="003127B9">
      <w:r>
        <w:rPr>
          <w:noProof/>
        </w:rPr>
        <w:drawing>
          <wp:inline distT="0" distB="0" distL="0" distR="0" wp14:anchorId="2B4158E1" wp14:editId="04FB7324">
            <wp:extent cx="5915025" cy="4435141"/>
            <wp:effectExtent l="0" t="0" r="0" b="3810"/>
            <wp:docPr id="21" name="Picture 21" descr="C:\Users\amrhej\Pictures\Sugar River Mainstem (2014)\CTH X\P81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rhej\Pictures\Sugar River Mainstem (2014)\CTH X\P81802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5025" cy="4435141"/>
                    </a:xfrm>
                    <a:prstGeom prst="rect">
                      <a:avLst/>
                    </a:prstGeom>
                    <a:noFill/>
                    <a:ln>
                      <a:noFill/>
                    </a:ln>
                  </pic:spPr>
                </pic:pic>
              </a:graphicData>
            </a:graphic>
          </wp:inline>
        </w:drawing>
      </w:r>
    </w:p>
    <w:p w:rsidR="003127B9" w:rsidRDefault="003127B9">
      <w:r>
        <w:t>Using the mini-boom shocker on the Sugar River</w:t>
      </w:r>
    </w:p>
    <w:p w:rsidR="003127B9" w:rsidRDefault="003127B9"/>
    <w:p w:rsidR="003127B9" w:rsidRDefault="003127B9">
      <w:r>
        <w:rPr>
          <w:noProof/>
        </w:rPr>
        <w:drawing>
          <wp:inline distT="0" distB="0" distL="0" distR="0">
            <wp:extent cx="4657725" cy="3492405"/>
            <wp:effectExtent l="0" t="0" r="0" b="0"/>
            <wp:docPr id="22" name="Picture 22" descr="C:\Users\amrhej\Pictures\Sugar River Mainstem (2014)\CTH F\P82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rhej\Pictures\Sugar River Mainstem (2014)\CTH F\P82002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7725" cy="3492405"/>
                    </a:xfrm>
                    <a:prstGeom prst="rect">
                      <a:avLst/>
                    </a:prstGeom>
                    <a:noFill/>
                    <a:ln>
                      <a:noFill/>
                    </a:ln>
                  </pic:spPr>
                </pic:pic>
              </a:graphicData>
            </a:graphic>
          </wp:inline>
        </w:drawing>
      </w:r>
    </w:p>
    <w:p w:rsidR="00E954B6" w:rsidRDefault="003127B9" w:rsidP="00C01494">
      <w:r>
        <w:t>Electrofishing control box</w:t>
      </w:r>
    </w:p>
    <w:sectPr w:rsidR="00E954B6" w:rsidSect="00381450">
      <w:pgSz w:w="12240" w:h="15840"/>
      <w:pgMar w:top="720" w:right="1800" w:bottom="99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BBB"/>
    <w:rsid w:val="000A2504"/>
    <w:rsid w:val="000B5D02"/>
    <w:rsid w:val="000B7F5E"/>
    <w:rsid w:val="000D21C3"/>
    <w:rsid w:val="001047ED"/>
    <w:rsid w:val="00104F55"/>
    <w:rsid w:val="00131B8E"/>
    <w:rsid w:val="00135C1D"/>
    <w:rsid w:val="00160B76"/>
    <w:rsid w:val="0018025D"/>
    <w:rsid w:val="001829E2"/>
    <w:rsid w:val="001909D3"/>
    <w:rsid w:val="00195A2C"/>
    <w:rsid w:val="001B080E"/>
    <w:rsid w:val="001B1CEE"/>
    <w:rsid w:val="001C1A50"/>
    <w:rsid w:val="001F58C8"/>
    <w:rsid w:val="00206F6E"/>
    <w:rsid w:val="00216DCE"/>
    <w:rsid w:val="00236A1F"/>
    <w:rsid w:val="0023748C"/>
    <w:rsid w:val="0024271D"/>
    <w:rsid w:val="002A07F0"/>
    <w:rsid w:val="002B1AE7"/>
    <w:rsid w:val="002B2BCB"/>
    <w:rsid w:val="002D2D11"/>
    <w:rsid w:val="002E2CEE"/>
    <w:rsid w:val="002E35FE"/>
    <w:rsid w:val="002E3D81"/>
    <w:rsid w:val="00303061"/>
    <w:rsid w:val="003127B9"/>
    <w:rsid w:val="003218C3"/>
    <w:rsid w:val="00321C46"/>
    <w:rsid w:val="00381450"/>
    <w:rsid w:val="003E124C"/>
    <w:rsid w:val="004177D5"/>
    <w:rsid w:val="00441785"/>
    <w:rsid w:val="00441FCD"/>
    <w:rsid w:val="0047278A"/>
    <w:rsid w:val="004729C4"/>
    <w:rsid w:val="004A40BF"/>
    <w:rsid w:val="004B6235"/>
    <w:rsid w:val="004E160F"/>
    <w:rsid w:val="005018B0"/>
    <w:rsid w:val="00512C03"/>
    <w:rsid w:val="005241D9"/>
    <w:rsid w:val="00551B01"/>
    <w:rsid w:val="00557D75"/>
    <w:rsid w:val="005663C7"/>
    <w:rsid w:val="005E32E7"/>
    <w:rsid w:val="006146FF"/>
    <w:rsid w:val="00630DF9"/>
    <w:rsid w:val="006B1697"/>
    <w:rsid w:val="0070658F"/>
    <w:rsid w:val="00746732"/>
    <w:rsid w:val="00755313"/>
    <w:rsid w:val="00777EF3"/>
    <w:rsid w:val="007A02E6"/>
    <w:rsid w:val="007B3BC8"/>
    <w:rsid w:val="007D0DE0"/>
    <w:rsid w:val="007F63B2"/>
    <w:rsid w:val="0082387F"/>
    <w:rsid w:val="00845C45"/>
    <w:rsid w:val="00877A56"/>
    <w:rsid w:val="008D300F"/>
    <w:rsid w:val="008E1C30"/>
    <w:rsid w:val="008F3CB0"/>
    <w:rsid w:val="00906EDD"/>
    <w:rsid w:val="00966209"/>
    <w:rsid w:val="00991E27"/>
    <w:rsid w:val="009A5070"/>
    <w:rsid w:val="009A5554"/>
    <w:rsid w:val="009B2A92"/>
    <w:rsid w:val="009C4B3D"/>
    <w:rsid w:val="009D536A"/>
    <w:rsid w:val="00A4264C"/>
    <w:rsid w:val="00A45B70"/>
    <w:rsid w:val="00A63EA9"/>
    <w:rsid w:val="00A81888"/>
    <w:rsid w:val="00AA2CDB"/>
    <w:rsid w:val="00AB4762"/>
    <w:rsid w:val="00AC1C4C"/>
    <w:rsid w:val="00AC4D28"/>
    <w:rsid w:val="00AC69EE"/>
    <w:rsid w:val="00AF4DD7"/>
    <w:rsid w:val="00B85D6C"/>
    <w:rsid w:val="00B9282C"/>
    <w:rsid w:val="00BB3640"/>
    <w:rsid w:val="00C01494"/>
    <w:rsid w:val="00C03671"/>
    <w:rsid w:val="00C0376F"/>
    <w:rsid w:val="00C05A6A"/>
    <w:rsid w:val="00C11909"/>
    <w:rsid w:val="00C13937"/>
    <w:rsid w:val="00C212E9"/>
    <w:rsid w:val="00C22531"/>
    <w:rsid w:val="00C33FEA"/>
    <w:rsid w:val="00C56E2D"/>
    <w:rsid w:val="00C62893"/>
    <w:rsid w:val="00C87AA5"/>
    <w:rsid w:val="00CA4D52"/>
    <w:rsid w:val="00CA7D7D"/>
    <w:rsid w:val="00CF4A02"/>
    <w:rsid w:val="00D138FB"/>
    <w:rsid w:val="00D343C5"/>
    <w:rsid w:val="00D54708"/>
    <w:rsid w:val="00D6341D"/>
    <w:rsid w:val="00D8361A"/>
    <w:rsid w:val="00DC5726"/>
    <w:rsid w:val="00DE4474"/>
    <w:rsid w:val="00DF092A"/>
    <w:rsid w:val="00E34A7A"/>
    <w:rsid w:val="00E41BBB"/>
    <w:rsid w:val="00E47E7D"/>
    <w:rsid w:val="00E550FA"/>
    <w:rsid w:val="00E676C7"/>
    <w:rsid w:val="00E954B6"/>
    <w:rsid w:val="00EA740D"/>
    <w:rsid w:val="00EB5206"/>
    <w:rsid w:val="00EC41EA"/>
    <w:rsid w:val="00EC4904"/>
    <w:rsid w:val="00F175C1"/>
    <w:rsid w:val="00F46DA9"/>
    <w:rsid w:val="00F92F13"/>
    <w:rsid w:val="00FB6934"/>
    <w:rsid w:val="00FB7765"/>
    <w:rsid w:val="00FF5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B6235"/>
    <w:rPr>
      <w:color w:val="0000FF" w:themeColor="hyperlink"/>
      <w:u w:val="single"/>
    </w:rPr>
  </w:style>
  <w:style w:type="paragraph" w:styleId="BalloonText">
    <w:name w:val="Balloon Text"/>
    <w:basedOn w:val="Normal"/>
    <w:link w:val="BalloonTextChar"/>
    <w:rsid w:val="000B7F5E"/>
    <w:rPr>
      <w:rFonts w:ascii="Tahoma" w:hAnsi="Tahoma" w:cs="Tahoma"/>
      <w:sz w:val="16"/>
      <w:szCs w:val="16"/>
    </w:rPr>
  </w:style>
  <w:style w:type="character" w:customStyle="1" w:styleId="BalloonTextChar">
    <w:name w:val="Balloon Text Char"/>
    <w:basedOn w:val="DefaultParagraphFont"/>
    <w:link w:val="BalloonText"/>
    <w:rsid w:val="000B7F5E"/>
    <w:rPr>
      <w:rFonts w:ascii="Tahoma" w:hAnsi="Tahoma" w:cs="Tahoma"/>
      <w:sz w:val="16"/>
      <w:szCs w:val="16"/>
    </w:rPr>
  </w:style>
  <w:style w:type="table" w:styleId="TableGrid">
    <w:name w:val="Table Grid"/>
    <w:basedOn w:val="TableNormal"/>
    <w:rsid w:val="001C1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138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B6235"/>
    <w:rPr>
      <w:color w:val="0000FF" w:themeColor="hyperlink"/>
      <w:u w:val="single"/>
    </w:rPr>
  </w:style>
  <w:style w:type="paragraph" w:styleId="BalloonText">
    <w:name w:val="Balloon Text"/>
    <w:basedOn w:val="Normal"/>
    <w:link w:val="BalloonTextChar"/>
    <w:rsid w:val="000B7F5E"/>
    <w:rPr>
      <w:rFonts w:ascii="Tahoma" w:hAnsi="Tahoma" w:cs="Tahoma"/>
      <w:sz w:val="16"/>
      <w:szCs w:val="16"/>
    </w:rPr>
  </w:style>
  <w:style w:type="character" w:customStyle="1" w:styleId="BalloonTextChar">
    <w:name w:val="Balloon Text Char"/>
    <w:basedOn w:val="DefaultParagraphFont"/>
    <w:link w:val="BalloonText"/>
    <w:rsid w:val="000B7F5E"/>
    <w:rPr>
      <w:rFonts w:ascii="Tahoma" w:hAnsi="Tahoma" w:cs="Tahoma"/>
      <w:sz w:val="16"/>
      <w:szCs w:val="16"/>
    </w:rPr>
  </w:style>
  <w:style w:type="table" w:styleId="TableGrid">
    <w:name w:val="Table Grid"/>
    <w:basedOn w:val="TableNormal"/>
    <w:rsid w:val="001C1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138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image" Target="media/image24.jpeg"/><Relationship Id="rId7" Type="http://schemas.openxmlformats.org/officeDocument/2006/relationships/oleObject" Target="embeddings/oleObject1.bin"/><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5.jpeg"/><Relationship Id="rId33" Type="http://schemas.openxmlformats.org/officeDocument/2006/relationships/image" Target="media/image23.jpeg"/><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chart" Target="charts/chart1.xml"/><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water.epa.gov/type/rsl/monitoring/riverssurvey/"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emf"/><Relationship Id="rId23" Type="http://schemas.openxmlformats.org/officeDocument/2006/relationships/chart" Target="charts/chart4.xml"/><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3.emf"/><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emf"/><Relationship Id="rId22" Type="http://schemas.openxmlformats.org/officeDocument/2006/relationships/chart" Target="charts/chart3.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0"/>
              <a:t>Channel Catfish Length Frequency</a:t>
            </a:r>
          </a:p>
          <a:p>
            <a:pPr>
              <a:defRPr sz="1400"/>
            </a:pPr>
            <a:r>
              <a:rPr lang="en-US" sz="1400" b="0"/>
              <a:t>Sugar River Nelson Road</a:t>
            </a:r>
          </a:p>
          <a:p>
            <a:pPr>
              <a:defRPr sz="1400"/>
            </a:pPr>
            <a:r>
              <a:rPr lang="en-US" sz="1400" b="0"/>
              <a:t>September 2014 Hoop Netting</a:t>
            </a:r>
          </a:p>
        </c:rich>
      </c:tx>
      <c:overlay val="0"/>
    </c:title>
    <c:autoTitleDeleted val="0"/>
    <c:plotArea>
      <c:layout>
        <c:manualLayout>
          <c:layoutTarget val="inner"/>
          <c:xMode val="edge"/>
          <c:yMode val="edge"/>
          <c:x val="8.5897604145635645E-2"/>
          <c:y val="4.6481871984965388E-2"/>
          <c:w val="0.89121063774552856"/>
          <c:h val="0.80562834607727896"/>
        </c:manualLayout>
      </c:layout>
      <c:barChart>
        <c:barDir val="col"/>
        <c:grouping val="clustered"/>
        <c:varyColors val="0"/>
        <c:ser>
          <c:idx val="0"/>
          <c:order val="0"/>
          <c:invertIfNegative val="0"/>
          <c:cat>
            <c:numRef>
              <c:f>'Raw Data&amp;Summary'!$O$2:$O$25</c:f>
              <c:numCache>
                <c:formatCode>General</c:formatCode>
                <c:ptCount val="24"/>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numCache>
            </c:numRef>
          </c:cat>
          <c:val>
            <c:numRef>
              <c:f>'Raw Data&amp;Summary'!$P$2:$P$25</c:f>
              <c:numCache>
                <c:formatCode>General</c:formatCode>
                <c:ptCount val="24"/>
                <c:pt idx="0">
                  <c:v>2</c:v>
                </c:pt>
                <c:pt idx="1">
                  <c:v>45</c:v>
                </c:pt>
                <c:pt idx="2">
                  <c:v>26</c:v>
                </c:pt>
                <c:pt idx="3">
                  <c:v>6</c:v>
                </c:pt>
                <c:pt idx="4">
                  <c:v>21</c:v>
                </c:pt>
                <c:pt idx="5">
                  <c:v>10</c:v>
                </c:pt>
                <c:pt idx="6">
                  <c:v>11</c:v>
                </c:pt>
                <c:pt idx="7">
                  <c:v>2</c:v>
                </c:pt>
                <c:pt idx="8">
                  <c:v>5</c:v>
                </c:pt>
                <c:pt idx="9">
                  <c:v>8</c:v>
                </c:pt>
                <c:pt idx="10">
                  <c:v>6</c:v>
                </c:pt>
                <c:pt idx="11">
                  <c:v>9</c:v>
                </c:pt>
                <c:pt idx="12">
                  <c:v>9</c:v>
                </c:pt>
                <c:pt idx="13">
                  <c:v>9</c:v>
                </c:pt>
                <c:pt idx="14">
                  <c:v>4</c:v>
                </c:pt>
                <c:pt idx="15">
                  <c:v>10</c:v>
                </c:pt>
                <c:pt idx="16">
                  <c:v>17</c:v>
                </c:pt>
                <c:pt idx="17">
                  <c:v>11</c:v>
                </c:pt>
                <c:pt idx="18">
                  <c:v>9</c:v>
                </c:pt>
                <c:pt idx="19">
                  <c:v>5</c:v>
                </c:pt>
                <c:pt idx="20">
                  <c:v>5</c:v>
                </c:pt>
                <c:pt idx="21">
                  <c:v>0</c:v>
                </c:pt>
                <c:pt idx="22">
                  <c:v>1</c:v>
                </c:pt>
                <c:pt idx="23">
                  <c:v>1</c:v>
                </c:pt>
              </c:numCache>
            </c:numRef>
          </c:val>
        </c:ser>
        <c:dLbls>
          <c:showLegendKey val="0"/>
          <c:showVal val="0"/>
          <c:showCatName val="0"/>
          <c:showSerName val="0"/>
          <c:showPercent val="0"/>
          <c:showBubbleSize val="0"/>
        </c:dLbls>
        <c:gapWidth val="150"/>
        <c:axId val="75645696"/>
        <c:axId val="75647616"/>
      </c:barChart>
      <c:catAx>
        <c:axId val="75645696"/>
        <c:scaling>
          <c:orientation val="minMax"/>
        </c:scaling>
        <c:delete val="0"/>
        <c:axPos val="b"/>
        <c:title>
          <c:tx>
            <c:rich>
              <a:bodyPr/>
              <a:lstStyle/>
              <a:p>
                <a:pPr>
                  <a:defRPr/>
                </a:pPr>
                <a:r>
                  <a:rPr lang="en-US"/>
                  <a:t>Length (Inch)</a:t>
                </a:r>
              </a:p>
            </c:rich>
          </c:tx>
          <c:overlay val="0"/>
        </c:title>
        <c:numFmt formatCode="General" sourceLinked="1"/>
        <c:majorTickMark val="out"/>
        <c:minorTickMark val="none"/>
        <c:tickLblPos val="nextTo"/>
        <c:crossAx val="75647616"/>
        <c:crosses val="autoZero"/>
        <c:auto val="1"/>
        <c:lblAlgn val="ctr"/>
        <c:lblOffset val="100"/>
        <c:noMultiLvlLbl val="0"/>
      </c:catAx>
      <c:valAx>
        <c:axId val="75647616"/>
        <c:scaling>
          <c:orientation val="minMax"/>
        </c:scaling>
        <c:delete val="0"/>
        <c:axPos val="l"/>
        <c:title>
          <c:tx>
            <c:rich>
              <a:bodyPr rot="-5400000" vert="horz"/>
              <a:lstStyle/>
              <a:p>
                <a:pPr>
                  <a:defRPr/>
                </a:pPr>
                <a:r>
                  <a:rPr lang="en-US"/>
                  <a:t>Frequency (count)</a:t>
                </a:r>
              </a:p>
            </c:rich>
          </c:tx>
          <c:overlay val="0"/>
        </c:title>
        <c:numFmt formatCode="General" sourceLinked="1"/>
        <c:majorTickMark val="out"/>
        <c:minorTickMark val="none"/>
        <c:tickLblPos val="nextTo"/>
        <c:crossAx val="75645696"/>
        <c:crosses val="autoZero"/>
        <c:crossBetween val="between"/>
      </c:valAx>
    </c:plotArea>
    <c:plotVisOnly val="1"/>
    <c:dispBlanksAs val="gap"/>
    <c:showDLblsOverMax val="0"/>
  </c:chart>
  <c:txPr>
    <a:bodyPr/>
    <a:lstStyle/>
    <a:p>
      <a:pPr>
        <a:defRPr sz="12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0" i="0" u="none" strike="noStrike" baseline="0">
                <a:effectLst/>
              </a:rPr>
              <a:t>Catch per Unit of Effort</a:t>
            </a:r>
          </a:p>
          <a:p>
            <a:pPr>
              <a:defRPr/>
            </a:pPr>
            <a:r>
              <a:rPr lang="en-US" sz="1200" b="0" i="0" u="none" strike="noStrike" baseline="0">
                <a:effectLst/>
              </a:rPr>
              <a:t>Channel Catfish</a:t>
            </a:r>
          </a:p>
          <a:p>
            <a:pPr>
              <a:defRPr/>
            </a:pPr>
            <a:r>
              <a:rPr lang="en-US" sz="1200" b="0" i="0" u="none" strike="noStrike" baseline="0">
                <a:effectLst/>
              </a:rPr>
              <a:t>Sugar River vs. Statewide Averages</a:t>
            </a:r>
          </a:p>
          <a:p>
            <a:pPr>
              <a:defRPr/>
            </a:pPr>
            <a:r>
              <a:rPr lang="en-US" sz="1800" b="1" i="0" u="none" strike="noStrike" baseline="0"/>
              <a:t> </a:t>
            </a:r>
            <a:endParaRPr lang="en-US"/>
          </a:p>
        </c:rich>
      </c:tx>
      <c:layout>
        <c:manualLayout>
          <c:xMode val="edge"/>
          <c:yMode val="edge"/>
          <c:x val="0.38277072878093527"/>
          <c:y val="1.4930944382232176E-2"/>
        </c:manualLayout>
      </c:layout>
      <c:overlay val="0"/>
    </c:title>
    <c:autoTitleDeleted val="0"/>
    <c:plotArea>
      <c:layout>
        <c:manualLayout>
          <c:layoutTarget val="inner"/>
          <c:xMode val="edge"/>
          <c:yMode val="edge"/>
          <c:x val="0.11001800255737264"/>
          <c:y val="0.21367535683033229"/>
          <c:w val="0.68357914395315966"/>
          <c:h val="0.74542857394785333"/>
        </c:manualLayout>
      </c:layout>
      <c:barChart>
        <c:barDir val="col"/>
        <c:grouping val="clustered"/>
        <c:varyColors val="0"/>
        <c:ser>
          <c:idx val="0"/>
          <c:order val="0"/>
          <c:tx>
            <c:strRef>
              <c:f>'Comparitive CPUE and PSD'!$B$57</c:f>
              <c:strCache>
                <c:ptCount val="1"/>
                <c:pt idx="0">
                  <c:v>Lentic Average</c:v>
                </c:pt>
              </c:strCache>
            </c:strRef>
          </c:tx>
          <c:invertIfNegative val="0"/>
          <c:val>
            <c:numRef>
              <c:f>'Comparitive CPUE and PSD'!$F$57</c:f>
              <c:numCache>
                <c:formatCode>0.0</c:formatCode>
                <c:ptCount val="1"/>
                <c:pt idx="0">
                  <c:v>18.982352941176469</c:v>
                </c:pt>
              </c:numCache>
            </c:numRef>
          </c:val>
        </c:ser>
        <c:ser>
          <c:idx val="1"/>
          <c:order val="1"/>
          <c:tx>
            <c:strRef>
              <c:f>'Comparitive CPUE and PSD'!$B$58</c:f>
              <c:strCache>
                <c:ptCount val="1"/>
                <c:pt idx="0">
                  <c:v>Lotic Average</c:v>
                </c:pt>
              </c:strCache>
            </c:strRef>
          </c:tx>
          <c:invertIfNegative val="0"/>
          <c:val>
            <c:numRef>
              <c:f>'Comparitive CPUE and PSD'!$F$58</c:f>
              <c:numCache>
                <c:formatCode>0.0</c:formatCode>
                <c:ptCount val="1"/>
                <c:pt idx="0">
                  <c:v>4.9384615384615396</c:v>
                </c:pt>
              </c:numCache>
            </c:numRef>
          </c:val>
        </c:ser>
        <c:ser>
          <c:idx val="2"/>
          <c:order val="2"/>
          <c:tx>
            <c:strRef>
              <c:f>'Comparitive CPUE and PSD'!$B$55</c:f>
              <c:strCache>
                <c:ptCount val="1"/>
                <c:pt idx="0">
                  <c:v>Sugar River 2014</c:v>
                </c:pt>
              </c:strCache>
            </c:strRef>
          </c:tx>
          <c:invertIfNegative val="0"/>
          <c:val>
            <c:numRef>
              <c:f>'Comparitive CPUE and PSD'!$F$55</c:f>
              <c:numCache>
                <c:formatCode>General</c:formatCode>
                <c:ptCount val="1"/>
                <c:pt idx="0">
                  <c:v>2.6</c:v>
                </c:pt>
              </c:numCache>
            </c:numRef>
          </c:val>
        </c:ser>
        <c:dLbls>
          <c:showLegendKey val="0"/>
          <c:showVal val="0"/>
          <c:showCatName val="0"/>
          <c:showSerName val="0"/>
          <c:showPercent val="0"/>
          <c:showBubbleSize val="0"/>
        </c:dLbls>
        <c:gapWidth val="150"/>
        <c:axId val="75677056"/>
        <c:axId val="75687040"/>
      </c:barChart>
      <c:catAx>
        <c:axId val="75677056"/>
        <c:scaling>
          <c:orientation val="minMax"/>
        </c:scaling>
        <c:delete val="1"/>
        <c:axPos val="b"/>
        <c:majorTickMark val="out"/>
        <c:minorTickMark val="none"/>
        <c:tickLblPos val="nextTo"/>
        <c:crossAx val="75687040"/>
        <c:crosses val="autoZero"/>
        <c:auto val="1"/>
        <c:lblAlgn val="ctr"/>
        <c:lblOffset val="100"/>
        <c:noMultiLvlLbl val="0"/>
      </c:catAx>
      <c:valAx>
        <c:axId val="75687040"/>
        <c:scaling>
          <c:orientation val="minMax"/>
        </c:scaling>
        <c:delete val="0"/>
        <c:axPos val="l"/>
        <c:numFmt formatCode="0.0" sourceLinked="1"/>
        <c:majorTickMark val="out"/>
        <c:minorTickMark val="none"/>
        <c:tickLblPos val="nextTo"/>
        <c:crossAx val="756770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0" i="0" u="none" strike="noStrike" baseline="0">
                <a:effectLst/>
              </a:rPr>
              <a:t>Proportional Stock Density (&gt; 16 inches)</a:t>
            </a:r>
          </a:p>
          <a:p>
            <a:pPr>
              <a:defRPr/>
            </a:pPr>
            <a:r>
              <a:rPr lang="en-US" sz="1200" b="0" i="0" u="none" strike="noStrike" baseline="0">
                <a:effectLst/>
              </a:rPr>
              <a:t>Sugar River vs. Statewide Averages</a:t>
            </a:r>
            <a:r>
              <a:rPr lang="en-US" sz="1200" b="0" i="0" u="none" strike="noStrike" baseline="0"/>
              <a:t> </a:t>
            </a:r>
            <a:endParaRPr lang="en-US" sz="1200" b="0"/>
          </a:p>
        </c:rich>
      </c:tx>
      <c:overlay val="1"/>
    </c:title>
    <c:autoTitleDeleted val="0"/>
    <c:plotArea>
      <c:layout/>
      <c:barChart>
        <c:barDir val="col"/>
        <c:grouping val="clustered"/>
        <c:varyColors val="0"/>
        <c:ser>
          <c:idx val="0"/>
          <c:order val="0"/>
          <c:tx>
            <c:strRef>
              <c:f>'Comparitive CPUE and PSD'!$B$57</c:f>
              <c:strCache>
                <c:ptCount val="1"/>
                <c:pt idx="0">
                  <c:v>Lentic Average</c:v>
                </c:pt>
              </c:strCache>
            </c:strRef>
          </c:tx>
          <c:invertIfNegative val="0"/>
          <c:val>
            <c:numRef>
              <c:f>'Comparitive CPUE and PSD'!$D$57</c:f>
              <c:numCache>
                <c:formatCode>0.0</c:formatCode>
                <c:ptCount val="1"/>
                <c:pt idx="0">
                  <c:v>71.181818181818187</c:v>
                </c:pt>
              </c:numCache>
            </c:numRef>
          </c:val>
        </c:ser>
        <c:ser>
          <c:idx val="1"/>
          <c:order val="1"/>
          <c:tx>
            <c:strRef>
              <c:f>'Comparitive CPUE and PSD'!$B$58</c:f>
              <c:strCache>
                <c:ptCount val="1"/>
                <c:pt idx="0">
                  <c:v>Lotic Average</c:v>
                </c:pt>
              </c:strCache>
            </c:strRef>
          </c:tx>
          <c:invertIfNegative val="0"/>
          <c:val>
            <c:numRef>
              <c:f>'Comparitive CPUE and PSD'!$D$58</c:f>
              <c:numCache>
                <c:formatCode>0.0</c:formatCode>
                <c:ptCount val="1"/>
                <c:pt idx="0">
                  <c:v>75.870967741935488</c:v>
                </c:pt>
              </c:numCache>
            </c:numRef>
          </c:val>
        </c:ser>
        <c:ser>
          <c:idx val="2"/>
          <c:order val="2"/>
          <c:tx>
            <c:strRef>
              <c:f>'Comparitive CPUE and PSD'!$B$55</c:f>
              <c:strCache>
                <c:ptCount val="1"/>
                <c:pt idx="0">
                  <c:v>Sugar River 2014</c:v>
                </c:pt>
              </c:strCache>
            </c:strRef>
          </c:tx>
          <c:invertIfNegative val="0"/>
          <c:val>
            <c:numRef>
              <c:f>'Comparitive CPUE and PSD'!$D$55</c:f>
              <c:numCache>
                <c:formatCode>General</c:formatCode>
                <c:ptCount val="1"/>
                <c:pt idx="0">
                  <c:v>73</c:v>
                </c:pt>
              </c:numCache>
            </c:numRef>
          </c:val>
        </c:ser>
        <c:dLbls>
          <c:showLegendKey val="0"/>
          <c:showVal val="0"/>
          <c:showCatName val="0"/>
          <c:showSerName val="0"/>
          <c:showPercent val="0"/>
          <c:showBubbleSize val="0"/>
        </c:dLbls>
        <c:gapWidth val="150"/>
        <c:axId val="73755264"/>
        <c:axId val="73757056"/>
      </c:barChart>
      <c:catAx>
        <c:axId val="73755264"/>
        <c:scaling>
          <c:orientation val="minMax"/>
        </c:scaling>
        <c:delete val="1"/>
        <c:axPos val="b"/>
        <c:majorTickMark val="out"/>
        <c:minorTickMark val="none"/>
        <c:tickLblPos val="nextTo"/>
        <c:crossAx val="73757056"/>
        <c:crosses val="autoZero"/>
        <c:auto val="1"/>
        <c:lblAlgn val="ctr"/>
        <c:lblOffset val="100"/>
        <c:noMultiLvlLbl val="0"/>
      </c:catAx>
      <c:valAx>
        <c:axId val="73757056"/>
        <c:scaling>
          <c:orientation val="minMax"/>
        </c:scaling>
        <c:delete val="0"/>
        <c:axPos val="l"/>
        <c:numFmt formatCode="0.0" sourceLinked="1"/>
        <c:majorTickMark val="out"/>
        <c:minorTickMark val="none"/>
        <c:tickLblPos val="nextTo"/>
        <c:crossAx val="7375526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i="0" u="none" strike="noStrike" baseline="0">
                <a:effectLst/>
              </a:rPr>
              <a:t>Relative Stock Density (&gt; 24 inches)</a:t>
            </a:r>
          </a:p>
          <a:p>
            <a:pPr>
              <a:defRPr/>
            </a:pPr>
            <a:r>
              <a:rPr lang="en-US" sz="1200" b="0" i="0" u="none" strike="noStrike" baseline="0">
                <a:effectLst/>
              </a:rPr>
              <a:t>Sugar River vs. Statewide Averages</a:t>
            </a:r>
            <a:r>
              <a:rPr lang="en-US" sz="1200" b="0" i="0" u="none" strike="noStrike" baseline="0"/>
              <a:t> </a:t>
            </a:r>
            <a:endParaRPr lang="en-US" sz="1200" b="0"/>
          </a:p>
        </c:rich>
      </c:tx>
      <c:overlay val="0"/>
    </c:title>
    <c:autoTitleDeleted val="0"/>
    <c:plotArea>
      <c:layout>
        <c:manualLayout>
          <c:layoutTarget val="inner"/>
          <c:xMode val="edge"/>
          <c:yMode val="edge"/>
          <c:x val="7.4133376253866595E-2"/>
          <c:y val="0.15292399577986138"/>
          <c:w val="0.71727684481917642"/>
          <c:h val="0.805085624705693"/>
        </c:manualLayout>
      </c:layout>
      <c:barChart>
        <c:barDir val="col"/>
        <c:grouping val="clustered"/>
        <c:varyColors val="0"/>
        <c:ser>
          <c:idx val="0"/>
          <c:order val="0"/>
          <c:tx>
            <c:strRef>
              <c:f>'Comparitive CPUE and PSD'!$B$57</c:f>
              <c:strCache>
                <c:ptCount val="1"/>
                <c:pt idx="0">
                  <c:v>Lentic Average</c:v>
                </c:pt>
              </c:strCache>
            </c:strRef>
          </c:tx>
          <c:invertIfNegative val="0"/>
          <c:val>
            <c:numRef>
              <c:f>'Comparitive CPUE and PSD'!$E$57</c:f>
              <c:numCache>
                <c:formatCode>0.0</c:formatCode>
                <c:ptCount val="1"/>
                <c:pt idx="0">
                  <c:v>17.272727272727273</c:v>
                </c:pt>
              </c:numCache>
            </c:numRef>
          </c:val>
        </c:ser>
        <c:ser>
          <c:idx val="1"/>
          <c:order val="1"/>
          <c:tx>
            <c:strRef>
              <c:f>'Comparitive CPUE and PSD'!$B$58</c:f>
              <c:strCache>
                <c:ptCount val="1"/>
                <c:pt idx="0">
                  <c:v>Lotic Average</c:v>
                </c:pt>
              </c:strCache>
            </c:strRef>
          </c:tx>
          <c:invertIfNegative val="0"/>
          <c:val>
            <c:numRef>
              <c:f>'Comparitive CPUE and PSD'!$E$58</c:f>
              <c:numCache>
                <c:formatCode>0.0</c:formatCode>
                <c:ptCount val="1"/>
                <c:pt idx="0">
                  <c:v>19.322580645161292</c:v>
                </c:pt>
              </c:numCache>
            </c:numRef>
          </c:val>
        </c:ser>
        <c:ser>
          <c:idx val="2"/>
          <c:order val="2"/>
          <c:tx>
            <c:strRef>
              <c:f>'Comparitive CPUE and PSD'!$B$55</c:f>
              <c:strCache>
                <c:ptCount val="1"/>
                <c:pt idx="0">
                  <c:v>Sugar River 2014</c:v>
                </c:pt>
              </c:strCache>
            </c:strRef>
          </c:tx>
          <c:invertIfNegative val="0"/>
          <c:val>
            <c:numRef>
              <c:f>'Comparitive CPUE and PSD'!$E$55</c:f>
              <c:numCache>
                <c:formatCode>General</c:formatCode>
                <c:ptCount val="1"/>
                <c:pt idx="0">
                  <c:v>10</c:v>
                </c:pt>
              </c:numCache>
            </c:numRef>
          </c:val>
        </c:ser>
        <c:dLbls>
          <c:showLegendKey val="0"/>
          <c:showVal val="0"/>
          <c:showCatName val="0"/>
          <c:showSerName val="0"/>
          <c:showPercent val="0"/>
          <c:showBubbleSize val="0"/>
        </c:dLbls>
        <c:gapWidth val="150"/>
        <c:axId val="102901632"/>
        <c:axId val="102903168"/>
      </c:barChart>
      <c:catAx>
        <c:axId val="102901632"/>
        <c:scaling>
          <c:orientation val="minMax"/>
        </c:scaling>
        <c:delete val="1"/>
        <c:axPos val="b"/>
        <c:majorTickMark val="out"/>
        <c:minorTickMark val="none"/>
        <c:tickLblPos val="nextTo"/>
        <c:crossAx val="102903168"/>
        <c:crosses val="autoZero"/>
        <c:auto val="1"/>
        <c:lblAlgn val="ctr"/>
        <c:lblOffset val="100"/>
        <c:noMultiLvlLbl val="0"/>
      </c:catAx>
      <c:valAx>
        <c:axId val="102903168"/>
        <c:scaling>
          <c:orientation val="minMax"/>
        </c:scaling>
        <c:delete val="0"/>
        <c:axPos val="l"/>
        <c:numFmt formatCode="0.0" sourceLinked="1"/>
        <c:majorTickMark val="out"/>
        <c:minorTickMark val="none"/>
        <c:tickLblPos val="nextTo"/>
        <c:crossAx val="1029016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1968</TotalTime>
  <Pages>27</Pages>
  <Words>3728</Words>
  <Characters>21254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Amrhein, James F</dc:creator>
  <cp:lastModifiedBy>Amrhein, James F</cp:lastModifiedBy>
  <cp:revision>49</cp:revision>
  <dcterms:created xsi:type="dcterms:W3CDTF">2014-12-30T19:52:00Z</dcterms:created>
  <dcterms:modified xsi:type="dcterms:W3CDTF">2015-03-27T13:38:00Z</dcterms:modified>
</cp:coreProperties>
</file>