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45" w:rsidRDefault="00947DD4" w:rsidP="005D5445">
      <w:pPr>
        <w:jc w:val="center"/>
        <w:rPr>
          <w:sz w:val="32"/>
          <w:szCs w:val="32"/>
        </w:rPr>
      </w:pPr>
      <w:r>
        <w:rPr>
          <w:sz w:val="32"/>
          <w:szCs w:val="32"/>
        </w:rPr>
        <w:t>Manley Creek 2015</w:t>
      </w:r>
      <w:r w:rsidR="005D5445">
        <w:rPr>
          <w:sz w:val="32"/>
          <w:szCs w:val="32"/>
        </w:rPr>
        <w:t xml:space="preserve"> Interim Report </w:t>
      </w:r>
    </w:p>
    <w:p w:rsidR="005D5445" w:rsidRDefault="005D5445" w:rsidP="005D5445">
      <w:pPr>
        <w:jc w:val="center"/>
        <w:rPr>
          <w:sz w:val="32"/>
          <w:szCs w:val="32"/>
        </w:rPr>
      </w:pPr>
      <w:r>
        <w:rPr>
          <w:sz w:val="32"/>
          <w:szCs w:val="32"/>
        </w:rPr>
        <w:t>Jean Unmuth, DNR - Water Quality Section</w:t>
      </w:r>
    </w:p>
    <w:p w:rsidR="005D5445" w:rsidRPr="005D5445" w:rsidRDefault="005D5445" w:rsidP="005D5445">
      <w:pPr>
        <w:jc w:val="center"/>
        <w:rPr>
          <w:sz w:val="32"/>
          <w:szCs w:val="32"/>
        </w:rPr>
      </w:pPr>
      <w:r>
        <w:rPr>
          <w:sz w:val="32"/>
          <w:szCs w:val="32"/>
        </w:rPr>
        <w:t>Caleigh Dickson &amp; Emma Lee – UW-Platteville</w:t>
      </w:r>
    </w:p>
    <w:p w:rsidR="005D5445" w:rsidRDefault="005D5445" w:rsidP="0040736D"/>
    <w:p w:rsidR="0040736D" w:rsidRDefault="0040736D" w:rsidP="0040736D">
      <w:r>
        <w:t>Manley Creek (WBIC:  1261200) in Sauk County is monitored by Wisconsin DNR water quality staff, fisheries staff and interns from UW-Platteville.  The site</w:t>
      </w:r>
      <w:r w:rsidR="005D5445">
        <w:t xml:space="preserve"> </w:t>
      </w:r>
      <w:r w:rsidR="009C54BF">
        <w:t xml:space="preserve">is </w:t>
      </w:r>
      <w:r w:rsidR="005D5445">
        <w:t>l</w:t>
      </w:r>
      <w:r w:rsidR="009C54BF">
        <w:t>ocated upstream of STH.-113 at SWIMS station: 10010989</w:t>
      </w:r>
      <w:r w:rsidR="00E862D1">
        <w:t xml:space="preserve"> (Figure 1). It h</w:t>
      </w:r>
      <w:r w:rsidR="005D5445">
        <w:t xml:space="preserve">as been monitored </w:t>
      </w:r>
      <w:r>
        <w:t>by water quality staff</w:t>
      </w:r>
      <w:r w:rsidR="009C54BF">
        <w:t xml:space="preserve"> yearly for fish, </w:t>
      </w:r>
      <w:proofErr w:type="spellStart"/>
      <w:r w:rsidR="009C54BF">
        <w:t>mac</w:t>
      </w:r>
      <w:r w:rsidR="00812598">
        <w:t>r</w:t>
      </w:r>
      <w:r w:rsidR="009C54BF">
        <w:t>o</w:t>
      </w:r>
      <w:r w:rsidR="00812598">
        <w:t>invertebrates</w:t>
      </w:r>
      <w:proofErr w:type="spellEnd"/>
      <w:r w:rsidR="00812598">
        <w:t xml:space="preserve"> and </w:t>
      </w:r>
      <w:r w:rsidR="00977564">
        <w:t xml:space="preserve">quantitative </w:t>
      </w:r>
      <w:r w:rsidR="00812598">
        <w:t>habitat since 2008</w:t>
      </w:r>
      <w:r w:rsidR="005D5445">
        <w:t>,</w:t>
      </w:r>
      <w:r>
        <w:t xml:space="preserve"> </w:t>
      </w:r>
      <w:r w:rsidR="00812598">
        <w:t xml:space="preserve">and </w:t>
      </w:r>
      <w:r w:rsidR="005D5445">
        <w:t>water quality and chemistry</w:t>
      </w:r>
      <w:r w:rsidR="00812598">
        <w:t xml:space="preserve"> have been monitored since 2010</w:t>
      </w:r>
      <w:r w:rsidR="005D5445">
        <w:t>.</w:t>
      </w:r>
      <w:r w:rsidR="004E0305">
        <w:t xml:space="preserve">  A </w:t>
      </w:r>
      <w:r w:rsidR="00977564">
        <w:t xml:space="preserve">calibrated </w:t>
      </w:r>
      <w:r w:rsidR="004E0305">
        <w:t xml:space="preserve">YSI </w:t>
      </w:r>
      <w:proofErr w:type="spellStart"/>
      <w:r w:rsidR="004E0305">
        <w:t>multimeter</w:t>
      </w:r>
      <w:proofErr w:type="spellEnd"/>
      <w:r w:rsidR="004E0305">
        <w:t xml:space="preserve"> is used to collect water quality, whi</w:t>
      </w:r>
      <w:r w:rsidR="00977564">
        <w:t xml:space="preserve">le water chemistry is collected, iced and </w:t>
      </w:r>
      <w:proofErr w:type="spellStart"/>
      <w:r w:rsidR="004E0305">
        <w:t>an</w:t>
      </w:r>
      <w:r w:rsidR="009C54BF">
        <w:t>d</w:t>
      </w:r>
      <w:proofErr w:type="spellEnd"/>
      <w:r w:rsidR="009C54BF">
        <w:t xml:space="preserve"> sent to the State Lab of Hygie</w:t>
      </w:r>
      <w:r w:rsidR="004E0305">
        <w:t>ne</w:t>
      </w:r>
      <w:r w:rsidR="00977564">
        <w:t xml:space="preserve"> for analysis</w:t>
      </w:r>
      <w:r w:rsidR="004E0305">
        <w:t>.  A backpack electrofishing unit is used to collect fish</w:t>
      </w:r>
      <w:r w:rsidR="009C54BF">
        <w:t xml:space="preserve"> in a 100-120 meter stream stretch and</w:t>
      </w:r>
      <w:r w:rsidR="004E0305">
        <w:t xml:space="preserve"> evaluate</w:t>
      </w:r>
      <w:r w:rsidR="009C54BF">
        <w:t xml:space="preserve"> stream health using the Fish </w:t>
      </w:r>
      <w:r w:rsidR="004E0305">
        <w:t>I</w:t>
      </w:r>
      <w:r w:rsidR="009C54BF">
        <w:t xml:space="preserve">ndex of </w:t>
      </w:r>
      <w:r w:rsidR="004E0305">
        <w:t>B</w:t>
      </w:r>
      <w:r w:rsidR="009C54BF">
        <w:t xml:space="preserve">iotic </w:t>
      </w:r>
      <w:r w:rsidR="004E0305">
        <w:t>I</w:t>
      </w:r>
      <w:r w:rsidR="009C54BF">
        <w:t>ntegrity (FIBI)</w:t>
      </w:r>
      <w:r w:rsidR="004E0305">
        <w:t>.</w:t>
      </w:r>
      <w:r w:rsidR="009C54BF">
        <w:t xml:space="preserve">  </w:t>
      </w:r>
      <w:proofErr w:type="spellStart"/>
      <w:r w:rsidR="009C54BF">
        <w:t>Macroinvertebrates</w:t>
      </w:r>
      <w:proofErr w:type="spellEnd"/>
      <w:r w:rsidR="009C54BF">
        <w:t xml:space="preserve"> are also sampled using a kick net, and stream health evaluated using the </w:t>
      </w:r>
      <w:proofErr w:type="spellStart"/>
      <w:r w:rsidR="009C54BF">
        <w:t>Macroinvertebrate</w:t>
      </w:r>
      <w:proofErr w:type="spellEnd"/>
      <w:r w:rsidR="009C54BF">
        <w:t xml:space="preserve"> Index of Biotic </w:t>
      </w:r>
      <w:proofErr w:type="gramStart"/>
      <w:r w:rsidR="009C54BF">
        <w:t>Integrity(</w:t>
      </w:r>
      <w:proofErr w:type="gramEnd"/>
      <w:r w:rsidR="009C54BF">
        <w:t>MIBI).</w:t>
      </w:r>
      <w:r w:rsidR="004E0305">
        <w:t xml:space="preserve">  Standard DNR</w:t>
      </w:r>
      <w:r w:rsidR="00977564">
        <w:t xml:space="preserve"> field </w:t>
      </w:r>
      <w:r w:rsidR="004E0305">
        <w:t>protocol</w:t>
      </w:r>
      <w:r w:rsidR="009C54BF">
        <w:t>s</w:t>
      </w:r>
      <w:r w:rsidR="004E0305">
        <w:t xml:space="preserve"> and methodologies are used</w:t>
      </w:r>
      <w:r w:rsidR="009C54BF">
        <w:t xml:space="preserve"> during monitoring</w:t>
      </w:r>
      <w:r w:rsidR="004E0305">
        <w:t xml:space="preserve">.   </w:t>
      </w:r>
    </w:p>
    <w:p w:rsidR="00411F10" w:rsidRDefault="00411F10" w:rsidP="0040736D">
      <w:r>
        <w:rPr>
          <w:noProof/>
        </w:rPr>
        <w:drawing>
          <wp:inline distT="0" distB="0" distL="0" distR="0">
            <wp:extent cx="4724400" cy="370068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70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F10" w:rsidRDefault="00411F10" w:rsidP="0040736D">
      <w:proofErr w:type="gramStart"/>
      <w:r>
        <w:t>Figure 1.</w:t>
      </w:r>
      <w:proofErr w:type="gramEnd"/>
      <w:r>
        <w:t xml:space="preserve">  </w:t>
      </w:r>
      <w:proofErr w:type="gramStart"/>
      <w:r>
        <w:t>Location of Monitoring Site in Manley Creek.</w:t>
      </w:r>
      <w:proofErr w:type="gramEnd"/>
    </w:p>
    <w:p w:rsidR="009C54BF" w:rsidRDefault="009C54BF" w:rsidP="0040736D"/>
    <w:p w:rsidR="005D5445" w:rsidRPr="005D5445" w:rsidRDefault="005D5445" w:rsidP="00B04B4C">
      <w:pPr>
        <w:rPr>
          <w:u w:val="single"/>
        </w:rPr>
      </w:pPr>
      <w:r>
        <w:rPr>
          <w:u w:val="single"/>
        </w:rPr>
        <w:lastRenderedPageBreak/>
        <w:t>Water Quality Results</w:t>
      </w:r>
    </w:p>
    <w:p w:rsidR="0040736D" w:rsidRPr="0040736D" w:rsidRDefault="0040736D" w:rsidP="00B04B4C">
      <w:r>
        <w:t xml:space="preserve">Manley Creek has good water quality.  Total suspended solids and nitrates are low, </w:t>
      </w:r>
      <w:r w:rsidR="004E0305">
        <w:t>at less than 12 mg/l, and 0</w:t>
      </w:r>
      <w:r w:rsidR="00E862D1">
        <w:t>.6 mg/l, respectively (Figures 2 &amp; 3</w:t>
      </w:r>
      <w:r w:rsidR="004E0305">
        <w:t>).  S</w:t>
      </w:r>
      <w:r>
        <w:t>tream transparency is high, indicating the stream has clear water</w:t>
      </w:r>
      <w:r w:rsidR="00411F10">
        <w:t xml:space="preserve"> and minimal over land runoff during rain events</w:t>
      </w:r>
      <w:r w:rsidR="00E862D1">
        <w:t xml:space="preserve"> (Figure 4</w:t>
      </w:r>
      <w:r w:rsidR="00411F10">
        <w:t>)</w:t>
      </w:r>
      <w:r>
        <w:t>.  Total Phosphorus results indicate that the stream is meeting the criteria for phosphorus in small streams</w:t>
      </w:r>
      <w:r w:rsidR="00E862D1">
        <w:t xml:space="preserve"> (Figure 5</w:t>
      </w:r>
      <w:r w:rsidR="004E0305">
        <w:t>).</w:t>
      </w:r>
    </w:p>
    <w:p w:rsidR="00B04B4C" w:rsidRDefault="00EE5FCD" w:rsidP="00B04B4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33F2D1A">
            <wp:extent cx="4584700" cy="27559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36D" w:rsidRDefault="004E0305" w:rsidP="00B04B4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Figure </w:t>
      </w:r>
      <w:r w:rsidR="007877D9">
        <w:rPr>
          <w:sz w:val="24"/>
          <w:szCs w:val="24"/>
        </w:rPr>
        <w:t>2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Total Suspended S</w:t>
      </w:r>
      <w:r w:rsidR="0040736D">
        <w:rPr>
          <w:sz w:val="24"/>
          <w:szCs w:val="24"/>
        </w:rPr>
        <w:t>olids from 2010-2016.</w:t>
      </w:r>
    </w:p>
    <w:p w:rsidR="00411F10" w:rsidRDefault="00411F10" w:rsidP="00B04B4C">
      <w:pPr>
        <w:rPr>
          <w:sz w:val="24"/>
          <w:szCs w:val="24"/>
        </w:rPr>
      </w:pPr>
    </w:p>
    <w:p w:rsidR="00EE5FCD" w:rsidRDefault="00EE5FCD" w:rsidP="00B04B4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55071D3">
            <wp:extent cx="4584700" cy="27559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36D" w:rsidRDefault="007877D9" w:rsidP="00B04B4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Figure 3</w:t>
      </w:r>
      <w:r w:rsidR="0040736D">
        <w:rPr>
          <w:sz w:val="24"/>
          <w:szCs w:val="24"/>
        </w:rPr>
        <w:t>.</w:t>
      </w:r>
      <w:proofErr w:type="gramEnd"/>
      <w:r w:rsidR="0040736D">
        <w:rPr>
          <w:sz w:val="24"/>
          <w:szCs w:val="24"/>
        </w:rPr>
        <w:t xml:space="preserve"> </w:t>
      </w:r>
      <w:r w:rsidR="004E0305">
        <w:rPr>
          <w:sz w:val="24"/>
          <w:szCs w:val="24"/>
        </w:rPr>
        <w:t>Total N</w:t>
      </w:r>
      <w:r w:rsidR="0040736D">
        <w:rPr>
          <w:sz w:val="24"/>
          <w:szCs w:val="24"/>
        </w:rPr>
        <w:t>itrates from 2010-2016.</w:t>
      </w:r>
    </w:p>
    <w:p w:rsidR="00EE5FCD" w:rsidRDefault="00EE5FCD" w:rsidP="00B04B4C">
      <w:pPr>
        <w:rPr>
          <w:sz w:val="24"/>
          <w:szCs w:val="24"/>
        </w:rPr>
      </w:pPr>
    </w:p>
    <w:p w:rsidR="002F33D4" w:rsidRDefault="002F33D4" w:rsidP="00B04B4C">
      <w:pPr>
        <w:rPr>
          <w:sz w:val="24"/>
          <w:szCs w:val="24"/>
        </w:rPr>
      </w:pPr>
    </w:p>
    <w:p w:rsidR="00CE68D0" w:rsidRDefault="00CE68D0" w:rsidP="00B04B4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5AC388E" wp14:editId="6B0290F3">
            <wp:extent cx="4905375" cy="2948660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033" cy="2952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5AC1" w:rsidRDefault="007877D9" w:rsidP="00B04B4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Figure 4</w:t>
      </w:r>
      <w:r w:rsidR="002F33D4">
        <w:rPr>
          <w:sz w:val="24"/>
          <w:szCs w:val="24"/>
        </w:rPr>
        <w:t>.</w:t>
      </w:r>
      <w:proofErr w:type="gramEnd"/>
      <w:r w:rsidR="002F33D4">
        <w:rPr>
          <w:sz w:val="24"/>
          <w:szCs w:val="24"/>
        </w:rPr>
        <w:t xml:space="preserve"> </w:t>
      </w:r>
      <w:r w:rsidR="00E862D1">
        <w:rPr>
          <w:sz w:val="24"/>
          <w:szCs w:val="24"/>
        </w:rPr>
        <w:t xml:space="preserve">Stream </w:t>
      </w:r>
      <w:r w:rsidR="002F33D4">
        <w:rPr>
          <w:sz w:val="24"/>
          <w:szCs w:val="24"/>
        </w:rPr>
        <w:t>Transparency from 2010-2016.</w:t>
      </w:r>
    </w:p>
    <w:p w:rsidR="00E862D1" w:rsidRDefault="00E862D1" w:rsidP="00B04B4C">
      <w:pPr>
        <w:rPr>
          <w:sz w:val="24"/>
          <w:szCs w:val="24"/>
        </w:rPr>
      </w:pPr>
    </w:p>
    <w:p w:rsidR="00B97B22" w:rsidRPr="00C366CA" w:rsidRDefault="00E862D1" w:rsidP="00B04B4C">
      <w:pPr>
        <w:rPr>
          <w:color w:val="FF0000"/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inline distT="0" distB="0" distL="0" distR="0" wp14:anchorId="5C7FB3BC" wp14:editId="2A1F1E12">
            <wp:extent cx="4584700" cy="27559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62D1" w:rsidRDefault="00E862D1" w:rsidP="00E862D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Figure </w:t>
      </w:r>
      <w:r w:rsidR="007877D9">
        <w:rPr>
          <w:sz w:val="24"/>
          <w:szCs w:val="24"/>
        </w:rPr>
        <w:t>5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Total Phosphorus from 2010-2016.</w:t>
      </w:r>
    </w:p>
    <w:p w:rsidR="00977564" w:rsidRDefault="00977564" w:rsidP="00B04B4C">
      <w:pPr>
        <w:rPr>
          <w:sz w:val="24"/>
          <w:szCs w:val="24"/>
          <w:u w:val="single"/>
        </w:rPr>
      </w:pPr>
    </w:p>
    <w:p w:rsidR="005D5445" w:rsidRDefault="005D5445" w:rsidP="00B04B4C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Stream Habitat Results</w:t>
      </w:r>
    </w:p>
    <w:p w:rsidR="004E0305" w:rsidRDefault="005D5445" w:rsidP="004E0305">
      <w:pPr>
        <w:rPr>
          <w:sz w:val="24"/>
          <w:szCs w:val="24"/>
        </w:rPr>
      </w:pPr>
      <w:r>
        <w:rPr>
          <w:sz w:val="24"/>
          <w:szCs w:val="24"/>
        </w:rPr>
        <w:t>Ha</w:t>
      </w:r>
      <w:r w:rsidR="00977564">
        <w:rPr>
          <w:sz w:val="24"/>
          <w:szCs w:val="24"/>
        </w:rPr>
        <w:t xml:space="preserve">bitat </w:t>
      </w:r>
      <w:r>
        <w:rPr>
          <w:sz w:val="24"/>
          <w:szCs w:val="24"/>
        </w:rPr>
        <w:t>has been collected yearly</w:t>
      </w:r>
      <w:r w:rsidR="00977564">
        <w:rPr>
          <w:sz w:val="24"/>
          <w:szCs w:val="24"/>
        </w:rPr>
        <w:t xml:space="preserve"> at the site</w:t>
      </w:r>
      <w:r>
        <w:rPr>
          <w:sz w:val="24"/>
          <w:szCs w:val="24"/>
        </w:rPr>
        <w:t xml:space="preserve"> since 2008.  Habitat </w:t>
      </w:r>
      <w:r w:rsidR="003A4EE8">
        <w:rPr>
          <w:sz w:val="24"/>
          <w:szCs w:val="24"/>
        </w:rPr>
        <w:t xml:space="preserve">scores ranged from 68 up to 78, and </w:t>
      </w:r>
      <w:r w:rsidR="004E0305">
        <w:rPr>
          <w:sz w:val="24"/>
          <w:szCs w:val="24"/>
        </w:rPr>
        <w:t>ratings ranged</w:t>
      </w:r>
      <w:r w:rsidR="00812598">
        <w:rPr>
          <w:sz w:val="24"/>
          <w:szCs w:val="24"/>
        </w:rPr>
        <w:t xml:space="preserve"> </w:t>
      </w:r>
      <w:r w:rsidR="007877D9">
        <w:rPr>
          <w:sz w:val="24"/>
          <w:szCs w:val="24"/>
        </w:rPr>
        <w:t>from good to excellent (Figure 6</w:t>
      </w:r>
      <w:r w:rsidR="00812598">
        <w:rPr>
          <w:sz w:val="24"/>
          <w:szCs w:val="24"/>
        </w:rPr>
        <w:t xml:space="preserve">).  The stream has an excellent wetland vegetation buffer, and </w:t>
      </w:r>
      <w:r w:rsidR="00884991">
        <w:rPr>
          <w:sz w:val="24"/>
          <w:szCs w:val="24"/>
        </w:rPr>
        <w:t>banks are stable.  However, five of</w:t>
      </w:r>
      <w:r w:rsidR="00812598">
        <w:rPr>
          <w:sz w:val="24"/>
          <w:szCs w:val="24"/>
        </w:rPr>
        <w:t xml:space="preserve"> the in-stream weir structures</w:t>
      </w:r>
      <w:r w:rsidR="00884991">
        <w:rPr>
          <w:sz w:val="24"/>
          <w:szCs w:val="24"/>
        </w:rPr>
        <w:t xml:space="preserve"> </w:t>
      </w:r>
      <w:r w:rsidR="00812598">
        <w:rPr>
          <w:sz w:val="24"/>
          <w:szCs w:val="24"/>
        </w:rPr>
        <w:t xml:space="preserve">been migrating downstream or are pushed off to the side of the stream. Boulders that were placed above the weirs have also migrated downstream.  This has resulted in a loss of </w:t>
      </w:r>
      <w:r w:rsidR="00232751">
        <w:rPr>
          <w:sz w:val="24"/>
          <w:szCs w:val="24"/>
        </w:rPr>
        <w:t xml:space="preserve">some </w:t>
      </w:r>
      <w:r w:rsidR="00812598">
        <w:rPr>
          <w:sz w:val="24"/>
          <w:szCs w:val="24"/>
        </w:rPr>
        <w:t xml:space="preserve">pool habitat, where previously </w:t>
      </w:r>
      <w:r w:rsidR="00884991">
        <w:rPr>
          <w:sz w:val="24"/>
          <w:szCs w:val="24"/>
        </w:rPr>
        <w:t xml:space="preserve">scour </w:t>
      </w:r>
      <w:r w:rsidR="00812598">
        <w:rPr>
          <w:sz w:val="24"/>
          <w:szCs w:val="24"/>
        </w:rPr>
        <w:t xml:space="preserve">pools existed below the structures. </w:t>
      </w:r>
      <w:r w:rsidR="00977564">
        <w:rPr>
          <w:sz w:val="24"/>
          <w:szCs w:val="24"/>
        </w:rPr>
        <w:t xml:space="preserve"> </w:t>
      </w:r>
      <w:bookmarkStart w:id="0" w:name="_GoBack"/>
      <w:bookmarkEnd w:id="0"/>
      <w:r w:rsidR="003A4EE8">
        <w:rPr>
          <w:sz w:val="24"/>
          <w:szCs w:val="24"/>
        </w:rPr>
        <w:t>For</w:t>
      </w:r>
      <w:r w:rsidR="004E0305">
        <w:rPr>
          <w:sz w:val="24"/>
          <w:szCs w:val="24"/>
        </w:rPr>
        <w:t xml:space="preserve"> some </w:t>
      </w:r>
      <w:r w:rsidR="003A4EE8">
        <w:rPr>
          <w:sz w:val="24"/>
          <w:szCs w:val="24"/>
        </w:rPr>
        <w:t xml:space="preserve">of the weir </w:t>
      </w:r>
      <w:r w:rsidR="004E0305">
        <w:rPr>
          <w:sz w:val="24"/>
          <w:szCs w:val="24"/>
        </w:rPr>
        <w:t xml:space="preserve">structures </w:t>
      </w:r>
      <w:r w:rsidR="00812598">
        <w:rPr>
          <w:sz w:val="24"/>
          <w:szCs w:val="24"/>
        </w:rPr>
        <w:t>r</w:t>
      </w:r>
      <w:r w:rsidR="004E0305">
        <w:rPr>
          <w:sz w:val="24"/>
          <w:szCs w:val="24"/>
        </w:rPr>
        <w:t xml:space="preserve">epair would simply require re-staking, and moving rocks back up above the weirs.  </w:t>
      </w:r>
    </w:p>
    <w:p w:rsidR="00977564" w:rsidRDefault="004E0305" w:rsidP="00B04B4C">
      <w:pPr>
        <w:rPr>
          <w:noProof/>
        </w:rPr>
      </w:pPr>
      <w:r>
        <w:rPr>
          <w:noProof/>
        </w:rPr>
        <w:drawing>
          <wp:inline distT="0" distB="0" distL="0" distR="0" wp14:anchorId="6E1872B7" wp14:editId="323882F5">
            <wp:extent cx="4686300" cy="34290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77564" w:rsidRDefault="00232751" w:rsidP="00B04B4C">
      <w:pPr>
        <w:rPr>
          <w:noProof/>
        </w:rPr>
      </w:pPr>
      <w:r>
        <w:rPr>
          <w:noProof/>
        </w:rPr>
        <w:t>Figure 6. Manley Creek Habitat Scores.</w:t>
      </w:r>
    </w:p>
    <w:p w:rsidR="00232751" w:rsidRDefault="00232751" w:rsidP="00B04B4C">
      <w:pPr>
        <w:rPr>
          <w:noProof/>
        </w:rPr>
      </w:pPr>
    </w:p>
    <w:p w:rsidR="00884991" w:rsidRDefault="004E0305" w:rsidP="00B04B4C">
      <w:pPr>
        <w:rPr>
          <w:noProof/>
          <w:u w:val="single"/>
        </w:rPr>
      </w:pPr>
      <w:r>
        <w:rPr>
          <w:noProof/>
        </w:rPr>
        <w:t xml:space="preserve"> </w:t>
      </w:r>
      <w:r w:rsidR="00977564">
        <w:rPr>
          <w:noProof/>
          <w:u w:val="single"/>
        </w:rPr>
        <w:t>Fish IBI</w:t>
      </w:r>
    </w:p>
    <w:p w:rsidR="00977564" w:rsidRDefault="00B2313E" w:rsidP="00B04B4C">
      <w:pPr>
        <w:rPr>
          <w:noProof/>
          <w:u w:val="single"/>
        </w:rPr>
      </w:pPr>
      <w:r>
        <w:rPr>
          <w:noProof/>
        </w:rPr>
        <w:t xml:space="preserve">Electrofishing </w:t>
      </w:r>
      <w:r w:rsidR="005B4F38">
        <w:rPr>
          <w:noProof/>
        </w:rPr>
        <w:t xml:space="preserve"> surveys in years 2012 through 2015 were</w:t>
      </w:r>
      <w:r>
        <w:rPr>
          <w:noProof/>
        </w:rPr>
        <w:t xml:space="preserve"> done seperately by Fish</w:t>
      </w:r>
      <w:r w:rsidR="005B4F38">
        <w:rPr>
          <w:noProof/>
        </w:rPr>
        <w:t xml:space="preserve"> Management and Water Resources s</w:t>
      </w:r>
      <w:r>
        <w:rPr>
          <w:noProof/>
        </w:rPr>
        <w:t>taff</w:t>
      </w:r>
      <w:r w:rsidR="003050E0">
        <w:rPr>
          <w:noProof/>
        </w:rPr>
        <w:t>, hence the double reporting of Fish IBI’s for those years</w:t>
      </w:r>
      <w:r>
        <w:rPr>
          <w:noProof/>
        </w:rPr>
        <w:t xml:space="preserve">.  </w:t>
      </w:r>
      <w:r w:rsidR="003050E0">
        <w:rPr>
          <w:noProof/>
        </w:rPr>
        <w:t xml:space="preserve"> </w:t>
      </w:r>
      <w:r w:rsidR="003A4EE8">
        <w:rPr>
          <w:noProof/>
        </w:rPr>
        <w:t xml:space="preserve">Fish IBI results over the years scored a 90 and above,  </w:t>
      </w:r>
      <w:r w:rsidR="005B4F38">
        <w:rPr>
          <w:noProof/>
        </w:rPr>
        <w:t xml:space="preserve">and </w:t>
      </w:r>
      <w:r w:rsidR="003A4EE8">
        <w:rPr>
          <w:noProof/>
        </w:rPr>
        <w:t>rating</w:t>
      </w:r>
      <w:r w:rsidR="005B4F38">
        <w:rPr>
          <w:noProof/>
        </w:rPr>
        <w:t>s were</w:t>
      </w:r>
      <w:r w:rsidR="00977564">
        <w:rPr>
          <w:noProof/>
        </w:rPr>
        <w:t xml:space="preserve"> excellent</w:t>
      </w:r>
      <w:r w:rsidR="005B4F38">
        <w:rPr>
          <w:noProof/>
        </w:rPr>
        <w:t xml:space="preserve"> (Figure 7)</w:t>
      </w:r>
      <w:r w:rsidR="00977564">
        <w:rPr>
          <w:noProof/>
        </w:rPr>
        <w:t>.  Brook trout (</w:t>
      </w:r>
      <w:r w:rsidR="00B97B22">
        <w:rPr>
          <w:i/>
          <w:noProof/>
        </w:rPr>
        <w:t>Salvelinus fontinalis)</w:t>
      </w:r>
      <w:r w:rsidR="00977564">
        <w:rPr>
          <w:noProof/>
        </w:rPr>
        <w:t xml:space="preserve"> dominate</w:t>
      </w:r>
      <w:r w:rsidR="00B97B22">
        <w:rPr>
          <w:noProof/>
        </w:rPr>
        <w:t>d</w:t>
      </w:r>
      <w:r w:rsidR="00977564">
        <w:rPr>
          <w:noProof/>
        </w:rPr>
        <w:t xml:space="preserve"> the catch, followed by </w:t>
      </w:r>
      <w:r w:rsidR="005B4F38">
        <w:rPr>
          <w:noProof/>
        </w:rPr>
        <w:t xml:space="preserve">much lesser numbers of </w:t>
      </w:r>
      <w:r w:rsidR="00977564">
        <w:rPr>
          <w:noProof/>
        </w:rPr>
        <w:t>mottled sculpin</w:t>
      </w:r>
      <w:r w:rsidR="005B4F38">
        <w:rPr>
          <w:noProof/>
        </w:rPr>
        <w:t>s</w:t>
      </w:r>
      <w:r w:rsidR="00B97B22">
        <w:rPr>
          <w:noProof/>
        </w:rPr>
        <w:t xml:space="preserve"> (</w:t>
      </w:r>
      <w:r w:rsidR="00B97B22" w:rsidRPr="00B97B22">
        <w:rPr>
          <w:i/>
          <w:noProof/>
        </w:rPr>
        <w:t>Cottus bairdii</w:t>
      </w:r>
      <w:r w:rsidR="00B97B22">
        <w:rPr>
          <w:noProof/>
        </w:rPr>
        <w:t>)</w:t>
      </w:r>
      <w:r w:rsidR="005B4F38">
        <w:rPr>
          <w:noProof/>
        </w:rPr>
        <w:t xml:space="preserve">, </w:t>
      </w:r>
      <w:r w:rsidR="00B97B22">
        <w:rPr>
          <w:noProof/>
        </w:rPr>
        <w:t xml:space="preserve"> central mudminnow</w:t>
      </w:r>
      <w:r w:rsidR="005B4F38">
        <w:rPr>
          <w:noProof/>
        </w:rPr>
        <w:t>s</w:t>
      </w:r>
      <w:r w:rsidR="00B97B22">
        <w:rPr>
          <w:noProof/>
        </w:rPr>
        <w:t xml:space="preserve"> (</w:t>
      </w:r>
      <w:r w:rsidR="00B97B22">
        <w:rPr>
          <w:i/>
          <w:noProof/>
        </w:rPr>
        <w:t>Umbra limi</w:t>
      </w:r>
      <w:r w:rsidR="005B4F38">
        <w:rPr>
          <w:noProof/>
        </w:rPr>
        <w:t xml:space="preserve">) and </w:t>
      </w:r>
      <w:r w:rsidR="00B97B22">
        <w:rPr>
          <w:noProof/>
        </w:rPr>
        <w:t>brook stickleback (</w:t>
      </w:r>
      <w:r w:rsidR="00B97B22">
        <w:rPr>
          <w:i/>
          <w:noProof/>
        </w:rPr>
        <w:t>Culaea inconstans</w:t>
      </w:r>
      <w:r w:rsidR="003A4EE8">
        <w:rPr>
          <w:noProof/>
        </w:rPr>
        <w:t>)</w:t>
      </w:r>
      <w:r w:rsidR="00B97B22">
        <w:rPr>
          <w:noProof/>
        </w:rPr>
        <w:t>.</w:t>
      </w:r>
      <w:r w:rsidR="00977564">
        <w:rPr>
          <w:noProof/>
        </w:rPr>
        <w:t xml:space="preserve"> </w:t>
      </w:r>
      <w:r w:rsidR="008F44EA">
        <w:rPr>
          <w:noProof/>
        </w:rPr>
        <w:t xml:space="preserve">  The general  trend of  brook trout caught during monitoring has increased over time</w:t>
      </w:r>
      <w:r w:rsidR="003A4EE8">
        <w:rPr>
          <w:noProof/>
        </w:rPr>
        <w:t xml:space="preserve"> (Figure 8)</w:t>
      </w:r>
      <w:r w:rsidR="008F44EA">
        <w:rPr>
          <w:noProof/>
        </w:rPr>
        <w:t xml:space="preserve">.  The exception was in year 2013 where brook trout numbers declined . </w:t>
      </w:r>
      <w:r w:rsidR="003A4EE8">
        <w:rPr>
          <w:noProof/>
        </w:rPr>
        <w:t xml:space="preserve"> </w:t>
      </w:r>
      <w:r w:rsidR="008F44EA">
        <w:rPr>
          <w:noProof/>
        </w:rPr>
        <w:t xml:space="preserve">The 2013 decline in trout </w:t>
      </w:r>
      <w:r w:rsidR="003A4EE8">
        <w:rPr>
          <w:noProof/>
        </w:rPr>
        <w:t xml:space="preserve">likely </w:t>
      </w:r>
      <w:r w:rsidR="008F44EA">
        <w:rPr>
          <w:noProof/>
        </w:rPr>
        <w:t>is due to the drought of 2012, when stream temperatures were abnormally high, and</w:t>
      </w:r>
      <w:r w:rsidR="00884991">
        <w:rPr>
          <w:noProof/>
        </w:rPr>
        <w:t xml:space="preserve"> recruit</w:t>
      </w:r>
      <w:r w:rsidR="003050E0">
        <w:rPr>
          <w:noProof/>
        </w:rPr>
        <w:t xml:space="preserve">ment of fish  from year </w:t>
      </w:r>
      <w:r w:rsidR="008F44EA">
        <w:rPr>
          <w:noProof/>
        </w:rPr>
        <w:t xml:space="preserve">2012 into </w:t>
      </w:r>
      <w:r w:rsidR="003050E0">
        <w:rPr>
          <w:noProof/>
        </w:rPr>
        <w:t xml:space="preserve">year </w:t>
      </w:r>
      <w:r w:rsidR="008F44EA">
        <w:rPr>
          <w:noProof/>
        </w:rPr>
        <w:lastRenderedPageBreak/>
        <w:t>2013 was low</w:t>
      </w:r>
      <w:r w:rsidR="005B4F38">
        <w:rPr>
          <w:noProof/>
        </w:rPr>
        <w:t>er</w:t>
      </w:r>
      <w:r w:rsidR="008F44EA">
        <w:rPr>
          <w:noProof/>
        </w:rPr>
        <w:t>.</w:t>
      </w:r>
      <w:r w:rsidR="005B4F38">
        <w:rPr>
          <w:noProof/>
        </w:rPr>
        <w:t xml:space="preserve">  Lower </w:t>
      </w:r>
      <w:r>
        <w:rPr>
          <w:noProof/>
        </w:rPr>
        <w:t>fish recruitment</w:t>
      </w:r>
      <w:r w:rsidR="003A4EE8">
        <w:rPr>
          <w:noProof/>
        </w:rPr>
        <w:t xml:space="preserve"> was also documented</w:t>
      </w:r>
      <w:r w:rsidR="008F44EA">
        <w:rPr>
          <w:noProof/>
        </w:rPr>
        <w:t xml:space="preserve"> </w:t>
      </w:r>
      <w:r w:rsidR="003A4EE8">
        <w:rPr>
          <w:noProof/>
        </w:rPr>
        <w:t>in other</w:t>
      </w:r>
      <w:r w:rsidR="005B4F38">
        <w:rPr>
          <w:noProof/>
        </w:rPr>
        <w:t xml:space="preserve"> coldwater</w:t>
      </w:r>
      <w:r w:rsidR="003A4EE8">
        <w:rPr>
          <w:noProof/>
        </w:rPr>
        <w:t xml:space="preserve"> strea</w:t>
      </w:r>
      <w:r>
        <w:rPr>
          <w:noProof/>
        </w:rPr>
        <w:t xml:space="preserve">ms in this part </w:t>
      </w:r>
      <w:r w:rsidR="00884991">
        <w:rPr>
          <w:noProof/>
        </w:rPr>
        <w:t xml:space="preserve">of the state in 2013.  However, </w:t>
      </w:r>
      <w:r w:rsidR="003050E0">
        <w:rPr>
          <w:noProof/>
        </w:rPr>
        <w:t xml:space="preserve"> </w:t>
      </w:r>
      <w:r>
        <w:rPr>
          <w:noProof/>
        </w:rPr>
        <w:t xml:space="preserve">from </w:t>
      </w:r>
      <w:r w:rsidR="003050E0">
        <w:rPr>
          <w:noProof/>
        </w:rPr>
        <w:t xml:space="preserve">year </w:t>
      </w:r>
      <w:r>
        <w:rPr>
          <w:noProof/>
        </w:rPr>
        <w:t xml:space="preserve">2013 to </w:t>
      </w:r>
      <w:r w:rsidR="003050E0">
        <w:rPr>
          <w:noProof/>
        </w:rPr>
        <w:t xml:space="preserve">year </w:t>
      </w:r>
      <w:r>
        <w:rPr>
          <w:noProof/>
        </w:rPr>
        <w:t xml:space="preserve">2014 the number of </w:t>
      </w:r>
      <w:r w:rsidR="005B4F38">
        <w:rPr>
          <w:noProof/>
        </w:rPr>
        <w:t>fish caught  more than doubled, indicating increased recruitment.</w:t>
      </w:r>
    </w:p>
    <w:p w:rsidR="00812598" w:rsidRPr="00977564" w:rsidRDefault="00812598" w:rsidP="00B04B4C">
      <w:pPr>
        <w:rPr>
          <w:noProof/>
          <w:u w:val="single"/>
        </w:rPr>
      </w:pPr>
      <w:r>
        <w:rPr>
          <w:noProof/>
        </w:rPr>
        <w:drawing>
          <wp:inline distT="0" distB="0" distL="0" distR="0" wp14:anchorId="60100CB7" wp14:editId="62C4AE89">
            <wp:extent cx="4772025" cy="30384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12598" w:rsidRDefault="00812598" w:rsidP="00B04B4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Figu</w:t>
      </w:r>
      <w:r w:rsidR="003A4EE8">
        <w:rPr>
          <w:sz w:val="24"/>
          <w:szCs w:val="24"/>
        </w:rPr>
        <w:t>re 7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Coldw</w:t>
      </w:r>
      <w:r w:rsidR="008F44EA">
        <w:rPr>
          <w:sz w:val="24"/>
          <w:szCs w:val="24"/>
        </w:rPr>
        <w:t>ater fish IBI S</w:t>
      </w:r>
      <w:r>
        <w:rPr>
          <w:sz w:val="24"/>
          <w:szCs w:val="24"/>
        </w:rPr>
        <w:t>cores from 2008-2016.</w:t>
      </w:r>
    </w:p>
    <w:p w:rsidR="006F4B03" w:rsidRDefault="006F4B03" w:rsidP="00B04B4C">
      <w:pPr>
        <w:rPr>
          <w:sz w:val="24"/>
          <w:szCs w:val="24"/>
        </w:rPr>
      </w:pPr>
    </w:p>
    <w:p w:rsidR="00C366CA" w:rsidRDefault="008F44EA" w:rsidP="00B04B4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50CBA0A" wp14:editId="3F8B58C8">
            <wp:extent cx="4629150" cy="26670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F44EA" w:rsidRDefault="003A4EE8" w:rsidP="00B04B4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Figure 8</w:t>
      </w:r>
      <w:r w:rsidR="008F44EA">
        <w:rPr>
          <w:sz w:val="24"/>
          <w:szCs w:val="24"/>
        </w:rPr>
        <w:t>.</w:t>
      </w:r>
      <w:proofErr w:type="gramEnd"/>
      <w:r w:rsidR="008F44EA">
        <w:rPr>
          <w:sz w:val="24"/>
          <w:szCs w:val="24"/>
        </w:rPr>
        <w:t xml:space="preserve"> Number of Brook Trout Captured In Yearly Surveys</w:t>
      </w:r>
      <w:r w:rsidR="00B2313E">
        <w:rPr>
          <w:sz w:val="24"/>
          <w:szCs w:val="24"/>
        </w:rPr>
        <w:t>.</w:t>
      </w:r>
    </w:p>
    <w:p w:rsidR="00C366CA" w:rsidRDefault="00C366CA" w:rsidP="00B04B4C">
      <w:pPr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Macroinvertebrates</w:t>
      </w:r>
      <w:proofErr w:type="spellEnd"/>
      <w:r>
        <w:rPr>
          <w:sz w:val="24"/>
          <w:szCs w:val="24"/>
          <w:u w:val="single"/>
        </w:rPr>
        <w:t xml:space="preserve"> (Aquatic Insects)</w:t>
      </w:r>
    </w:p>
    <w:p w:rsidR="00947DD4" w:rsidRDefault="00C366CA" w:rsidP="00B04B4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</w:t>
      </w:r>
      <w:proofErr w:type="spellStart"/>
      <w:r>
        <w:rPr>
          <w:sz w:val="24"/>
          <w:szCs w:val="24"/>
        </w:rPr>
        <w:t>macroinvertebrate</w:t>
      </w:r>
      <w:proofErr w:type="spellEnd"/>
      <w:r>
        <w:rPr>
          <w:sz w:val="24"/>
          <w:szCs w:val="24"/>
        </w:rPr>
        <w:t xml:space="preserve"> IBI </w:t>
      </w:r>
      <w:r w:rsidR="00E818FA">
        <w:rPr>
          <w:sz w:val="24"/>
          <w:szCs w:val="24"/>
        </w:rPr>
        <w:t>(MIBI) score</w:t>
      </w:r>
      <w:r>
        <w:rPr>
          <w:sz w:val="24"/>
          <w:szCs w:val="24"/>
        </w:rPr>
        <w:t xml:space="preserve"> </w:t>
      </w:r>
      <w:r w:rsidR="00E818FA">
        <w:rPr>
          <w:sz w:val="24"/>
          <w:szCs w:val="24"/>
        </w:rPr>
        <w:t xml:space="preserve">in most </w:t>
      </w:r>
      <w:r w:rsidR="003050E0">
        <w:rPr>
          <w:sz w:val="24"/>
          <w:szCs w:val="24"/>
        </w:rPr>
        <w:t>years</w:t>
      </w:r>
      <w:r w:rsidR="00884991">
        <w:rPr>
          <w:sz w:val="24"/>
          <w:szCs w:val="24"/>
        </w:rPr>
        <w:t xml:space="preserve"> </w:t>
      </w:r>
      <w:r>
        <w:rPr>
          <w:sz w:val="24"/>
          <w:szCs w:val="24"/>
        </w:rPr>
        <w:t>ranged from 6.6 – 7.0</w:t>
      </w:r>
      <w:r w:rsidR="00947DD4">
        <w:rPr>
          <w:sz w:val="24"/>
          <w:szCs w:val="24"/>
        </w:rPr>
        <w:t>, indicating stream health according to this index rated</w:t>
      </w:r>
      <w:r>
        <w:rPr>
          <w:sz w:val="24"/>
          <w:szCs w:val="24"/>
        </w:rPr>
        <w:t xml:space="preserve"> good </w:t>
      </w:r>
      <w:r w:rsidR="003050E0">
        <w:rPr>
          <w:sz w:val="24"/>
          <w:szCs w:val="24"/>
        </w:rPr>
        <w:t>(Figure 9</w:t>
      </w:r>
      <w:r w:rsidR="008F44EA">
        <w:rPr>
          <w:sz w:val="24"/>
          <w:szCs w:val="24"/>
        </w:rPr>
        <w:t>)</w:t>
      </w:r>
      <w:r>
        <w:rPr>
          <w:sz w:val="24"/>
          <w:szCs w:val="24"/>
        </w:rPr>
        <w:t xml:space="preserve">.  </w:t>
      </w:r>
      <w:r w:rsidR="00E818FA">
        <w:rPr>
          <w:sz w:val="24"/>
          <w:szCs w:val="24"/>
        </w:rPr>
        <w:t xml:space="preserve">The exception was in 2014 when the MIBI </w:t>
      </w:r>
      <w:r>
        <w:rPr>
          <w:sz w:val="24"/>
          <w:szCs w:val="24"/>
        </w:rPr>
        <w:t xml:space="preserve">score was </w:t>
      </w:r>
      <w:r w:rsidR="00E818FA">
        <w:rPr>
          <w:sz w:val="24"/>
          <w:szCs w:val="24"/>
        </w:rPr>
        <w:t xml:space="preserve">low at </w:t>
      </w:r>
      <w:r>
        <w:rPr>
          <w:sz w:val="24"/>
          <w:szCs w:val="24"/>
        </w:rPr>
        <w:t xml:space="preserve">4.1, and rated only fair.  It appears that the number of </w:t>
      </w:r>
      <w:r w:rsidR="00006818">
        <w:rPr>
          <w:sz w:val="24"/>
          <w:szCs w:val="24"/>
        </w:rPr>
        <w:t xml:space="preserve">insects in the </w:t>
      </w:r>
      <w:r w:rsidR="00947DD4">
        <w:rPr>
          <w:sz w:val="24"/>
          <w:szCs w:val="24"/>
        </w:rPr>
        <w:t xml:space="preserve">EPT </w:t>
      </w:r>
      <w:r w:rsidR="00006818">
        <w:rPr>
          <w:sz w:val="24"/>
          <w:szCs w:val="24"/>
        </w:rPr>
        <w:t xml:space="preserve">Orders </w:t>
      </w:r>
      <w:proofErr w:type="spellStart"/>
      <w:r w:rsidR="00006818">
        <w:rPr>
          <w:sz w:val="24"/>
          <w:szCs w:val="24"/>
        </w:rPr>
        <w:t>Ephemeroptera</w:t>
      </w:r>
      <w:proofErr w:type="spellEnd"/>
      <w:r w:rsidR="00006818">
        <w:rPr>
          <w:sz w:val="24"/>
          <w:szCs w:val="24"/>
        </w:rPr>
        <w:t xml:space="preserve"> (mayf</w:t>
      </w:r>
      <w:r>
        <w:rPr>
          <w:sz w:val="24"/>
          <w:szCs w:val="24"/>
        </w:rPr>
        <w:t>lies</w:t>
      </w:r>
      <w:r w:rsidR="00006818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proofErr w:type="spellStart"/>
      <w:r w:rsidR="00006818">
        <w:rPr>
          <w:sz w:val="24"/>
          <w:szCs w:val="24"/>
        </w:rPr>
        <w:t>P</w:t>
      </w:r>
      <w:r>
        <w:rPr>
          <w:sz w:val="24"/>
          <w:szCs w:val="24"/>
        </w:rPr>
        <w:t>lecoptera</w:t>
      </w:r>
      <w:proofErr w:type="spellEnd"/>
      <w:r w:rsidR="00006818">
        <w:rPr>
          <w:sz w:val="24"/>
          <w:szCs w:val="24"/>
        </w:rPr>
        <w:t xml:space="preserve"> (stoneflies)</w:t>
      </w:r>
      <w:r>
        <w:rPr>
          <w:sz w:val="24"/>
          <w:szCs w:val="24"/>
        </w:rPr>
        <w:t xml:space="preserve">, and </w:t>
      </w:r>
      <w:proofErr w:type="spellStart"/>
      <w:r>
        <w:rPr>
          <w:sz w:val="24"/>
          <w:szCs w:val="24"/>
        </w:rPr>
        <w:t>trichoptera</w:t>
      </w:r>
      <w:proofErr w:type="spellEnd"/>
      <w:r>
        <w:rPr>
          <w:sz w:val="24"/>
          <w:szCs w:val="24"/>
        </w:rPr>
        <w:t xml:space="preserve"> </w:t>
      </w:r>
      <w:r w:rsidR="00006818">
        <w:rPr>
          <w:sz w:val="24"/>
          <w:szCs w:val="24"/>
        </w:rPr>
        <w:t>(caddisflies), which a</w:t>
      </w:r>
      <w:r w:rsidR="00E818FA">
        <w:rPr>
          <w:sz w:val="24"/>
          <w:szCs w:val="24"/>
        </w:rPr>
        <w:t>re intolerant to pollution, has</w:t>
      </w:r>
      <w:r w:rsidR="00006818">
        <w:rPr>
          <w:sz w:val="24"/>
          <w:szCs w:val="24"/>
        </w:rPr>
        <w:t xml:space="preserve"> declined</w:t>
      </w:r>
      <w:r w:rsidR="00E818FA">
        <w:rPr>
          <w:sz w:val="24"/>
          <w:szCs w:val="24"/>
        </w:rPr>
        <w:t xml:space="preserve"> over time (Figure 9)</w:t>
      </w:r>
      <w:r w:rsidR="00006818">
        <w:rPr>
          <w:sz w:val="24"/>
          <w:szCs w:val="24"/>
        </w:rPr>
        <w:t xml:space="preserve">.  </w:t>
      </w:r>
      <w:proofErr w:type="spellStart"/>
      <w:r w:rsidR="00884991">
        <w:rPr>
          <w:sz w:val="24"/>
          <w:szCs w:val="24"/>
        </w:rPr>
        <w:t>Macroinvertebrate</w:t>
      </w:r>
      <w:proofErr w:type="spellEnd"/>
      <w:r w:rsidR="00884991">
        <w:rPr>
          <w:sz w:val="24"/>
          <w:szCs w:val="24"/>
        </w:rPr>
        <w:t xml:space="preserve"> declines </w:t>
      </w:r>
      <w:r w:rsidR="00500BC2">
        <w:rPr>
          <w:sz w:val="24"/>
          <w:szCs w:val="24"/>
        </w:rPr>
        <w:t xml:space="preserve">are </w:t>
      </w:r>
      <w:r w:rsidR="006F4B03">
        <w:rPr>
          <w:sz w:val="24"/>
          <w:szCs w:val="24"/>
        </w:rPr>
        <w:t>often associated with</w:t>
      </w:r>
      <w:r w:rsidR="00884991">
        <w:rPr>
          <w:sz w:val="24"/>
          <w:szCs w:val="24"/>
        </w:rPr>
        <w:t xml:space="preserve"> </w:t>
      </w:r>
      <w:r w:rsidR="006F4B03">
        <w:rPr>
          <w:sz w:val="24"/>
          <w:szCs w:val="24"/>
        </w:rPr>
        <w:t xml:space="preserve">increased </w:t>
      </w:r>
      <w:r w:rsidR="00884991">
        <w:rPr>
          <w:sz w:val="24"/>
          <w:szCs w:val="24"/>
        </w:rPr>
        <w:t>water pollution</w:t>
      </w:r>
      <w:r w:rsidR="00500BC2">
        <w:rPr>
          <w:sz w:val="24"/>
          <w:szCs w:val="24"/>
        </w:rPr>
        <w:t>,</w:t>
      </w:r>
      <w:r w:rsidR="006F4B03">
        <w:rPr>
          <w:sz w:val="24"/>
          <w:szCs w:val="24"/>
        </w:rPr>
        <w:t xml:space="preserve"> declines</w:t>
      </w:r>
      <w:r w:rsidR="00884991">
        <w:rPr>
          <w:sz w:val="24"/>
          <w:szCs w:val="24"/>
        </w:rPr>
        <w:t xml:space="preserve"> in</w:t>
      </w:r>
      <w:r w:rsidR="006F4B03">
        <w:rPr>
          <w:sz w:val="24"/>
          <w:szCs w:val="24"/>
        </w:rPr>
        <w:t xml:space="preserve"> </w:t>
      </w:r>
      <w:r w:rsidR="00884991">
        <w:rPr>
          <w:sz w:val="24"/>
          <w:szCs w:val="24"/>
        </w:rPr>
        <w:t>stream habitat or</w:t>
      </w:r>
      <w:r w:rsidR="006F4B03">
        <w:rPr>
          <w:sz w:val="24"/>
          <w:szCs w:val="24"/>
        </w:rPr>
        <w:t xml:space="preserve"> loss of </w:t>
      </w:r>
      <w:r w:rsidR="00884991">
        <w:rPr>
          <w:sz w:val="24"/>
          <w:szCs w:val="24"/>
        </w:rPr>
        <w:t>high quality riparian buffers</w:t>
      </w:r>
      <w:r w:rsidR="00500BC2">
        <w:rPr>
          <w:sz w:val="24"/>
          <w:szCs w:val="24"/>
        </w:rPr>
        <w:t xml:space="preserve">.  </w:t>
      </w:r>
      <w:r w:rsidR="00396BF5">
        <w:rPr>
          <w:sz w:val="24"/>
          <w:szCs w:val="24"/>
        </w:rPr>
        <w:t>However since water quality has not declined,</w:t>
      </w:r>
      <w:r w:rsidR="00884991">
        <w:rPr>
          <w:sz w:val="24"/>
          <w:szCs w:val="24"/>
        </w:rPr>
        <w:t xml:space="preserve"> and the in-stream</w:t>
      </w:r>
      <w:r w:rsidR="00396BF5">
        <w:rPr>
          <w:sz w:val="24"/>
          <w:szCs w:val="24"/>
        </w:rPr>
        <w:t xml:space="preserve"> </w:t>
      </w:r>
      <w:r w:rsidR="00884991">
        <w:rPr>
          <w:sz w:val="24"/>
          <w:szCs w:val="24"/>
        </w:rPr>
        <w:t>habitat and riparian areas</w:t>
      </w:r>
      <w:r w:rsidR="006F4B03">
        <w:rPr>
          <w:sz w:val="24"/>
          <w:szCs w:val="24"/>
        </w:rPr>
        <w:t xml:space="preserve"> have not </w:t>
      </w:r>
      <w:r w:rsidR="00E818FA">
        <w:rPr>
          <w:sz w:val="24"/>
          <w:szCs w:val="24"/>
        </w:rPr>
        <w:t xml:space="preserve">really </w:t>
      </w:r>
      <w:r w:rsidR="006F4B03">
        <w:rPr>
          <w:sz w:val="24"/>
          <w:szCs w:val="24"/>
        </w:rPr>
        <w:t>changed over time, we ruled those</w:t>
      </w:r>
      <w:r w:rsidR="00396BF5">
        <w:rPr>
          <w:sz w:val="24"/>
          <w:szCs w:val="24"/>
        </w:rPr>
        <w:t xml:space="preserve"> out</w:t>
      </w:r>
      <w:r w:rsidR="00EF61BF">
        <w:rPr>
          <w:sz w:val="24"/>
          <w:szCs w:val="24"/>
        </w:rPr>
        <w:t xml:space="preserve"> as a possible cause</w:t>
      </w:r>
      <w:r w:rsidR="006F4B03">
        <w:rPr>
          <w:sz w:val="24"/>
          <w:szCs w:val="24"/>
        </w:rPr>
        <w:t>s</w:t>
      </w:r>
      <w:r w:rsidR="00EF61BF">
        <w:rPr>
          <w:sz w:val="24"/>
          <w:szCs w:val="24"/>
        </w:rPr>
        <w:t xml:space="preserve"> of </w:t>
      </w:r>
      <w:proofErr w:type="spellStart"/>
      <w:r w:rsidR="00EF61BF">
        <w:rPr>
          <w:sz w:val="24"/>
          <w:szCs w:val="24"/>
        </w:rPr>
        <w:t>macroinvertebrate</w:t>
      </w:r>
      <w:proofErr w:type="spellEnd"/>
      <w:r w:rsidR="00EF61BF">
        <w:rPr>
          <w:sz w:val="24"/>
          <w:szCs w:val="24"/>
        </w:rPr>
        <w:t xml:space="preserve"> decline</w:t>
      </w:r>
      <w:r w:rsidR="00E818FA">
        <w:rPr>
          <w:sz w:val="24"/>
          <w:szCs w:val="24"/>
        </w:rPr>
        <w:t>.</w:t>
      </w:r>
      <w:r w:rsidR="0091781A">
        <w:rPr>
          <w:sz w:val="24"/>
          <w:szCs w:val="24"/>
        </w:rPr>
        <w:t xml:space="preserve"> </w:t>
      </w:r>
      <w:r w:rsidR="00947DD4">
        <w:rPr>
          <w:sz w:val="24"/>
          <w:szCs w:val="24"/>
        </w:rPr>
        <w:t xml:space="preserve"> </w:t>
      </w:r>
      <w:r w:rsidR="00396BF5">
        <w:rPr>
          <w:sz w:val="24"/>
          <w:szCs w:val="24"/>
        </w:rPr>
        <w:t>Upon further investigation, we looked</w:t>
      </w:r>
      <w:r w:rsidR="0091781A">
        <w:rPr>
          <w:sz w:val="24"/>
          <w:szCs w:val="24"/>
        </w:rPr>
        <w:t xml:space="preserve"> at numbers of brook trout captured</w:t>
      </w:r>
      <w:r w:rsidR="00396BF5">
        <w:rPr>
          <w:sz w:val="24"/>
          <w:szCs w:val="24"/>
        </w:rPr>
        <w:t xml:space="preserve"> in the surveys over time, and compared that to </w:t>
      </w:r>
      <w:r w:rsidR="0091781A">
        <w:rPr>
          <w:sz w:val="24"/>
          <w:szCs w:val="24"/>
        </w:rPr>
        <w:t xml:space="preserve">the number of EPT genera, and found </w:t>
      </w:r>
      <w:r w:rsidR="00396BF5">
        <w:rPr>
          <w:sz w:val="24"/>
          <w:szCs w:val="24"/>
        </w:rPr>
        <w:t xml:space="preserve">an inverse relationship between </w:t>
      </w:r>
      <w:r w:rsidR="0091781A">
        <w:rPr>
          <w:sz w:val="24"/>
          <w:szCs w:val="24"/>
        </w:rPr>
        <w:t>increasing</w:t>
      </w:r>
      <w:r w:rsidR="00396BF5">
        <w:rPr>
          <w:sz w:val="24"/>
          <w:szCs w:val="24"/>
        </w:rPr>
        <w:t xml:space="preserve"> brook trout and de</w:t>
      </w:r>
      <w:r w:rsidR="0091781A">
        <w:rPr>
          <w:sz w:val="24"/>
          <w:szCs w:val="24"/>
        </w:rPr>
        <w:t>clining EPT</w:t>
      </w:r>
      <w:r w:rsidR="00947DD4">
        <w:rPr>
          <w:sz w:val="24"/>
          <w:szCs w:val="24"/>
        </w:rPr>
        <w:t xml:space="preserve"> (Figure 9).  In other words, </w:t>
      </w:r>
      <w:r w:rsidR="00AA2901">
        <w:rPr>
          <w:sz w:val="24"/>
          <w:szCs w:val="24"/>
        </w:rPr>
        <w:t xml:space="preserve">EPT genera </w:t>
      </w:r>
      <w:r w:rsidR="00AA2901">
        <w:rPr>
          <w:sz w:val="24"/>
          <w:szCs w:val="24"/>
        </w:rPr>
        <w:t>have declined as brook trout numbers increased</w:t>
      </w:r>
      <w:r w:rsidR="00AA2901">
        <w:rPr>
          <w:sz w:val="24"/>
          <w:szCs w:val="24"/>
        </w:rPr>
        <w:t xml:space="preserve">.  Since our surveys indicate that prey fish </w:t>
      </w:r>
      <w:r w:rsidR="00660F11">
        <w:rPr>
          <w:sz w:val="24"/>
          <w:szCs w:val="24"/>
        </w:rPr>
        <w:t>for</w:t>
      </w:r>
      <w:r w:rsidR="00AA2901">
        <w:rPr>
          <w:sz w:val="24"/>
          <w:szCs w:val="24"/>
        </w:rPr>
        <w:t xml:space="preserve"> </w:t>
      </w:r>
      <w:r w:rsidR="00660F11">
        <w:rPr>
          <w:sz w:val="24"/>
          <w:szCs w:val="24"/>
        </w:rPr>
        <w:t xml:space="preserve">trout are </w:t>
      </w:r>
      <w:r w:rsidR="00AA2901">
        <w:rPr>
          <w:sz w:val="24"/>
          <w:szCs w:val="24"/>
        </w:rPr>
        <w:t xml:space="preserve">low </w:t>
      </w:r>
      <w:r w:rsidR="00660F11">
        <w:rPr>
          <w:sz w:val="24"/>
          <w:szCs w:val="24"/>
        </w:rPr>
        <w:t xml:space="preserve">in </w:t>
      </w:r>
      <w:r w:rsidR="00AA2901">
        <w:rPr>
          <w:sz w:val="24"/>
          <w:szCs w:val="24"/>
        </w:rPr>
        <w:t xml:space="preserve">numbers in Manley Creek, </w:t>
      </w:r>
      <w:r w:rsidR="00F430F0">
        <w:rPr>
          <w:sz w:val="24"/>
          <w:szCs w:val="24"/>
        </w:rPr>
        <w:t>it makes sense</w:t>
      </w:r>
      <w:r w:rsidR="00AA2901">
        <w:rPr>
          <w:sz w:val="24"/>
          <w:szCs w:val="24"/>
        </w:rPr>
        <w:t xml:space="preserve"> that aquatic insects are the primary </w:t>
      </w:r>
      <w:r w:rsidR="00660F11">
        <w:rPr>
          <w:sz w:val="24"/>
          <w:szCs w:val="24"/>
        </w:rPr>
        <w:t xml:space="preserve">prey </w:t>
      </w:r>
      <w:r w:rsidR="00AA2901">
        <w:rPr>
          <w:sz w:val="24"/>
          <w:szCs w:val="24"/>
        </w:rPr>
        <w:t>food for trout</w:t>
      </w:r>
      <w:r w:rsidR="00660F11">
        <w:rPr>
          <w:sz w:val="24"/>
          <w:szCs w:val="24"/>
        </w:rPr>
        <w:t>, and thus</w:t>
      </w:r>
      <w:r w:rsidR="00F430F0">
        <w:rPr>
          <w:sz w:val="24"/>
          <w:szCs w:val="24"/>
        </w:rPr>
        <w:t xml:space="preserve"> an increase in predators may be responsible for</w:t>
      </w:r>
      <w:r w:rsidR="00AA2901">
        <w:rPr>
          <w:sz w:val="24"/>
          <w:szCs w:val="24"/>
        </w:rPr>
        <w:t xml:space="preserve"> the decline in </w:t>
      </w:r>
      <w:r w:rsidR="00F430F0">
        <w:rPr>
          <w:sz w:val="24"/>
          <w:szCs w:val="24"/>
        </w:rPr>
        <w:t>EPT</w:t>
      </w:r>
      <w:r w:rsidR="00AA2901">
        <w:rPr>
          <w:sz w:val="24"/>
          <w:szCs w:val="24"/>
        </w:rPr>
        <w:t xml:space="preserve"> genera.</w:t>
      </w:r>
      <w:r w:rsidR="00F430F0">
        <w:rPr>
          <w:sz w:val="24"/>
          <w:szCs w:val="24"/>
        </w:rPr>
        <w:t xml:space="preserve">  To confirm this, a more in depth analysis of fish and insect size distribution, and modeling of bioenergetics over time would have to be completed.</w:t>
      </w:r>
      <w:r w:rsidR="00AA2901">
        <w:rPr>
          <w:sz w:val="24"/>
          <w:szCs w:val="24"/>
        </w:rPr>
        <w:t xml:space="preserve">    </w:t>
      </w:r>
    </w:p>
    <w:p w:rsidR="00523A77" w:rsidRDefault="00523A77" w:rsidP="00B04B4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B60B8EA" wp14:editId="08A2C5EC">
            <wp:extent cx="3800475" cy="2809875"/>
            <wp:effectExtent l="0" t="0" r="9525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366CA" w:rsidRDefault="003050E0" w:rsidP="00B04B4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Figure 9</w:t>
      </w:r>
      <w:r w:rsidR="00523A77">
        <w:rPr>
          <w:sz w:val="24"/>
          <w:szCs w:val="24"/>
        </w:rPr>
        <w:t>.</w:t>
      </w:r>
      <w:proofErr w:type="gramEnd"/>
      <w:r w:rsidR="00523A77">
        <w:rPr>
          <w:sz w:val="24"/>
          <w:szCs w:val="24"/>
        </w:rPr>
        <w:t xml:space="preserve"> </w:t>
      </w:r>
      <w:proofErr w:type="spellStart"/>
      <w:r w:rsidR="00523A77">
        <w:rPr>
          <w:sz w:val="24"/>
          <w:szCs w:val="24"/>
        </w:rPr>
        <w:t>Macroinvertebrate</w:t>
      </w:r>
      <w:proofErr w:type="spellEnd"/>
      <w:r w:rsidR="00523A77">
        <w:rPr>
          <w:sz w:val="24"/>
          <w:szCs w:val="24"/>
        </w:rPr>
        <w:t xml:space="preserve"> </w:t>
      </w:r>
      <w:proofErr w:type="gramStart"/>
      <w:r w:rsidR="00523A77">
        <w:rPr>
          <w:sz w:val="24"/>
          <w:szCs w:val="24"/>
        </w:rPr>
        <w:t>IBI,</w:t>
      </w:r>
      <w:proofErr w:type="gramEnd"/>
      <w:r w:rsidR="00523A77">
        <w:rPr>
          <w:sz w:val="24"/>
          <w:szCs w:val="24"/>
        </w:rPr>
        <w:t xml:space="preserve"> and Abundance of </w:t>
      </w:r>
      <w:proofErr w:type="spellStart"/>
      <w:r w:rsidR="00523A77">
        <w:rPr>
          <w:sz w:val="24"/>
          <w:szCs w:val="24"/>
        </w:rPr>
        <w:t>Ephemeroptera</w:t>
      </w:r>
      <w:proofErr w:type="spellEnd"/>
      <w:r w:rsidR="00523A77">
        <w:rPr>
          <w:sz w:val="24"/>
          <w:szCs w:val="24"/>
        </w:rPr>
        <w:t xml:space="preserve">, </w:t>
      </w:r>
      <w:proofErr w:type="spellStart"/>
      <w:r w:rsidR="00523A77">
        <w:rPr>
          <w:sz w:val="24"/>
          <w:szCs w:val="24"/>
        </w:rPr>
        <w:t>Plecoptera</w:t>
      </w:r>
      <w:proofErr w:type="spellEnd"/>
      <w:r w:rsidR="00523A77">
        <w:rPr>
          <w:sz w:val="24"/>
          <w:szCs w:val="24"/>
        </w:rPr>
        <w:t xml:space="preserve"> and </w:t>
      </w:r>
      <w:proofErr w:type="spellStart"/>
      <w:r w:rsidR="00523A77">
        <w:rPr>
          <w:sz w:val="24"/>
          <w:szCs w:val="24"/>
        </w:rPr>
        <w:t>Trichoptera</w:t>
      </w:r>
      <w:proofErr w:type="spellEnd"/>
      <w:r w:rsidR="00006818">
        <w:rPr>
          <w:sz w:val="24"/>
          <w:szCs w:val="24"/>
        </w:rPr>
        <w:t>.</w:t>
      </w:r>
      <w:r w:rsidR="00C366CA">
        <w:rPr>
          <w:sz w:val="24"/>
          <w:szCs w:val="24"/>
        </w:rPr>
        <w:t xml:space="preserve"> </w:t>
      </w:r>
    </w:p>
    <w:p w:rsidR="00B02807" w:rsidRDefault="00B02807" w:rsidP="00B04B4C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4AB3F40" wp14:editId="2FC10A5B">
            <wp:extent cx="5695950" cy="411480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23A77" w:rsidRDefault="003050E0" w:rsidP="00523A77">
      <w:pPr>
        <w:rPr>
          <w:sz w:val="24"/>
          <w:szCs w:val="24"/>
        </w:rPr>
      </w:pPr>
      <w:r>
        <w:rPr>
          <w:sz w:val="24"/>
          <w:szCs w:val="24"/>
        </w:rPr>
        <w:t>Figure 10</w:t>
      </w:r>
      <w:r w:rsidR="00947DD4">
        <w:rPr>
          <w:sz w:val="24"/>
          <w:szCs w:val="24"/>
        </w:rPr>
        <w:t>.  Brook Trout N</w:t>
      </w:r>
      <w:r w:rsidR="00B02807">
        <w:rPr>
          <w:sz w:val="24"/>
          <w:szCs w:val="24"/>
        </w:rPr>
        <w:t xml:space="preserve">umbers vs. </w:t>
      </w:r>
      <w:proofErr w:type="spellStart"/>
      <w:r w:rsidR="00947DD4">
        <w:rPr>
          <w:sz w:val="24"/>
          <w:szCs w:val="24"/>
        </w:rPr>
        <w:t>Ephemeroptera</w:t>
      </w:r>
      <w:proofErr w:type="spellEnd"/>
      <w:r w:rsidR="00947DD4">
        <w:rPr>
          <w:sz w:val="24"/>
          <w:szCs w:val="24"/>
        </w:rPr>
        <w:t xml:space="preserve">, </w:t>
      </w:r>
      <w:proofErr w:type="spellStart"/>
      <w:r w:rsidR="00947DD4">
        <w:rPr>
          <w:sz w:val="24"/>
          <w:szCs w:val="24"/>
        </w:rPr>
        <w:t>Plecoptera</w:t>
      </w:r>
      <w:proofErr w:type="spellEnd"/>
      <w:r w:rsidR="00947DD4">
        <w:rPr>
          <w:sz w:val="24"/>
          <w:szCs w:val="24"/>
        </w:rPr>
        <w:t xml:space="preserve">, and </w:t>
      </w:r>
      <w:proofErr w:type="spellStart"/>
      <w:r w:rsidR="00947DD4">
        <w:rPr>
          <w:sz w:val="24"/>
          <w:szCs w:val="24"/>
        </w:rPr>
        <w:t>Trichoptera</w:t>
      </w:r>
      <w:proofErr w:type="spellEnd"/>
      <w:r w:rsidR="00947DD4">
        <w:rPr>
          <w:sz w:val="24"/>
          <w:szCs w:val="24"/>
        </w:rPr>
        <w:t xml:space="preserve"> N</w:t>
      </w:r>
      <w:r w:rsidR="00B02807">
        <w:rPr>
          <w:sz w:val="24"/>
          <w:szCs w:val="24"/>
        </w:rPr>
        <w:t>umbers</w:t>
      </w:r>
      <w:r w:rsidR="00884991">
        <w:rPr>
          <w:sz w:val="24"/>
          <w:szCs w:val="24"/>
        </w:rPr>
        <w:t>.</w:t>
      </w:r>
      <w:r w:rsidR="00396BF5">
        <w:rPr>
          <w:sz w:val="24"/>
          <w:szCs w:val="24"/>
        </w:rPr>
        <w:t xml:space="preserve"> </w:t>
      </w:r>
    </w:p>
    <w:p w:rsidR="00523A77" w:rsidRPr="00C366CA" w:rsidRDefault="00523A77" w:rsidP="00B04B4C">
      <w:pPr>
        <w:rPr>
          <w:sz w:val="24"/>
          <w:szCs w:val="24"/>
        </w:rPr>
      </w:pPr>
    </w:p>
    <w:p w:rsidR="005D5445" w:rsidRPr="00B04B4C" w:rsidRDefault="005D5445" w:rsidP="00B04B4C">
      <w:pPr>
        <w:rPr>
          <w:sz w:val="24"/>
          <w:szCs w:val="24"/>
        </w:rPr>
      </w:pPr>
    </w:p>
    <w:sectPr w:rsidR="005D5445" w:rsidRPr="00B04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E2" w:rsidRDefault="00702EE2" w:rsidP="00EE5FCD">
      <w:pPr>
        <w:spacing w:after="0" w:line="240" w:lineRule="auto"/>
      </w:pPr>
      <w:r>
        <w:separator/>
      </w:r>
    </w:p>
  </w:endnote>
  <w:endnote w:type="continuationSeparator" w:id="0">
    <w:p w:rsidR="00702EE2" w:rsidRDefault="00702EE2" w:rsidP="00EE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E2" w:rsidRDefault="00702EE2" w:rsidP="00EE5FCD">
      <w:pPr>
        <w:spacing w:after="0" w:line="240" w:lineRule="auto"/>
      </w:pPr>
      <w:r>
        <w:separator/>
      </w:r>
    </w:p>
  </w:footnote>
  <w:footnote w:type="continuationSeparator" w:id="0">
    <w:p w:rsidR="00702EE2" w:rsidRDefault="00702EE2" w:rsidP="00EE5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4C"/>
    <w:rsid w:val="00006818"/>
    <w:rsid w:val="000462F3"/>
    <w:rsid w:val="000F310B"/>
    <w:rsid w:val="001E17EB"/>
    <w:rsid w:val="00232751"/>
    <w:rsid w:val="00285BB4"/>
    <w:rsid w:val="002F33D4"/>
    <w:rsid w:val="003050E0"/>
    <w:rsid w:val="00396BF5"/>
    <w:rsid w:val="003A4EE8"/>
    <w:rsid w:val="0040736D"/>
    <w:rsid w:val="004119C5"/>
    <w:rsid w:val="00411F10"/>
    <w:rsid w:val="004E0305"/>
    <w:rsid w:val="00500BC2"/>
    <w:rsid w:val="00523A77"/>
    <w:rsid w:val="00585AC1"/>
    <w:rsid w:val="005B4F38"/>
    <w:rsid w:val="005D5445"/>
    <w:rsid w:val="00660F11"/>
    <w:rsid w:val="006F4B03"/>
    <w:rsid w:val="00702EE2"/>
    <w:rsid w:val="007877D9"/>
    <w:rsid w:val="007D2A9E"/>
    <w:rsid w:val="00812598"/>
    <w:rsid w:val="00884991"/>
    <w:rsid w:val="008B3433"/>
    <w:rsid w:val="008F44EA"/>
    <w:rsid w:val="0091781A"/>
    <w:rsid w:val="009444D2"/>
    <w:rsid w:val="00947DD4"/>
    <w:rsid w:val="00977564"/>
    <w:rsid w:val="009C54BF"/>
    <w:rsid w:val="00AA2901"/>
    <w:rsid w:val="00B02807"/>
    <w:rsid w:val="00B04B4C"/>
    <w:rsid w:val="00B2313E"/>
    <w:rsid w:val="00B97B22"/>
    <w:rsid w:val="00C366CA"/>
    <w:rsid w:val="00C4794A"/>
    <w:rsid w:val="00C54E60"/>
    <w:rsid w:val="00CE68D0"/>
    <w:rsid w:val="00E818FA"/>
    <w:rsid w:val="00E862D1"/>
    <w:rsid w:val="00EE5FCD"/>
    <w:rsid w:val="00EF61BF"/>
    <w:rsid w:val="00F145A7"/>
    <w:rsid w:val="00F4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FCD"/>
  </w:style>
  <w:style w:type="paragraph" w:styleId="Footer">
    <w:name w:val="footer"/>
    <w:basedOn w:val="Normal"/>
    <w:link w:val="FooterChar"/>
    <w:uiPriority w:val="99"/>
    <w:unhideWhenUsed/>
    <w:rsid w:val="00EE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FCD"/>
  </w:style>
  <w:style w:type="paragraph" w:styleId="Footer">
    <w:name w:val="footer"/>
    <w:basedOn w:val="Normal"/>
    <w:link w:val="FooterChar"/>
    <w:uiPriority w:val="99"/>
    <w:unhideWhenUsed/>
    <w:rsid w:val="00EE5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Habitat</a:t>
            </a:r>
            <a:r>
              <a:rPr lang="en-US" baseline="0"/>
              <a:t> </a:t>
            </a:r>
            <a:r>
              <a:rPr lang="en-US"/>
              <a:t>Score-Manley</a:t>
            </a:r>
            <a:r>
              <a:rPr lang="en-US" baseline="0"/>
              <a:t> Creek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habitat_rating_streams_less_10m!$C$16</c:f>
              <c:strCache>
                <c:ptCount val="1"/>
                <c:pt idx="0">
                  <c:v>Habitat Cover Score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numRef>
              <c:f>habitat_rating_streams_less_10m!$B$17:$B$23</c:f>
              <c:numCache>
                <c:formatCode>General</c:formatCode>
                <c:ptCount val="7"/>
                <c:pt idx="0">
                  <c:v>2008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</c:numCache>
            </c:numRef>
          </c:cat>
          <c:val>
            <c:numRef>
              <c:f>habitat_rating_streams_less_10m!$C$17:$C$23</c:f>
              <c:numCache>
                <c:formatCode>General</c:formatCode>
                <c:ptCount val="7"/>
                <c:pt idx="0">
                  <c:v>73</c:v>
                </c:pt>
                <c:pt idx="1">
                  <c:v>73</c:v>
                </c:pt>
                <c:pt idx="2">
                  <c:v>72</c:v>
                </c:pt>
                <c:pt idx="3">
                  <c:v>72</c:v>
                </c:pt>
                <c:pt idx="4">
                  <c:v>68</c:v>
                </c:pt>
                <c:pt idx="5">
                  <c:v>78</c:v>
                </c:pt>
                <c:pt idx="6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76960"/>
        <c:axId val="75392128"/>
      </c:barChart>
      <c:catAx>
        <c:axId val="751769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5392128"/>
        <c:crosses val="autoZero"/>
        <c:auto val="1"/>
        <c:lblAlgn val="ctr"/>
        <c:lblOffset val="100"/>
        <c:noMultiLvlLbl val="0"/>
      </c:catAx>
      <c:valAx>
        <c:axId val="753921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Habitat</a:t>
                </a:r>
                <a:r>
                  <a:rPr lang="en-US" baseline="0"/>
                  <a:t> Score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5176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Coldwater IBI-Manley</a:t>
            </a:r>
            <a:r>
              <a:rPr lang="en-US" baseline="0"/>
              <a:t> Creek</a:t>
            </a:r>
            <a:endParaRPr lang="en-US"/>
          </a:p>
        </c:rich>
      </c:tx>
      <c:overlay val="1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solidFill>
              <a:schemeClr val="tx1"/>
            </a:solidFill>
          </c:spPr>
          <c:invertIfNegative val="0"/>
          <c:cat>
            <c:numRef>
              <c:f>coldwater_ibi!$C$25:$C$38</c:f>
              <c:numCache>
                <c:formatCode>General</c:formatCode>
                <c:ptCount val="14"/>
                <c:pt idx="0">
                  <c:v>2008</c:v>
                </c:pt>
                <c:pt idx="1">
                  <c:v>2008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2012</c:v>
                </c:pt>
                <c:pt idx="8">
                  <c:v>2013</c:v>
                </c:pt>
                <c:pt idx="9">
                  <c:v>2013</c:v>
                </c:pt>
                <c:pt idx="10">
                  <c:v>2014</c:v>
                </c:pt>
                <c:pt idx="11">
                  <c:v>2014</c:v>
                </c:pt>
                <c:pt idx="12">
                  <c:v>2015</c:v>
                </c:pt>
                <c:pt idx="13">
                  <c:v>2015</c:v>
                </c:pt>
              </c:numCache>
            </c:numRef>
          </c:cat>
          <c:val>
            <c:numRef>
              <c:f>coldwater_ibi!$D$25:$D$38</c:f>
              <c:numCache>
                <c:formatCode>General</c:formatCode>
                <c:ptCount val="1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90</c:v>
                </c:pt>
                <c:pt idx="9">
                  <c:v>90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99616"/>
        <c:axId val="75201536"/>
      </c:barChart>
      <c:catAx>
        <c:axId val="751996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5201536"/>
        <c:crosses val="autoZero"/>
        <c:auto val="1"/>
        <c:lblAlgn val="ctr"/>
        <c:lblOffset val="100"/>
        <c:noMultiLvlLbl val="0"/>
      </c:catAx>
      <c:valAx>
        <c:axId val="752015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Coldwater IBI Score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5199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fish_raw_data!$G$1</c:f>
              <c:strCache>
                <c:ptCount val="1"/>
                <c:pt idx="0">
                  <c:v>Brook Trout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numLit>
              <c:formatCode>General</c:formatCode>
              <c:ptCount val="5"/>
              <c:pt idx="0">
                <c:v>2010</c:v>
              </c:pt>
              <c:pt idx="1">
                <c:v>2011</c:v>
              </c:pt>
              <c:pt idx="2">
                <c:v>2012</c:v>
              </c:pt>
              <c:pt idx="3">
                <c:v>2013</c:v>
              </c:pt>
              <c:pt idx="4">
                <c:v>2014</c:v>
              </c:pt>
            </c:numLit>
          </c:cat>
          <c:val>
            <c:numRef>
              <c:f>fish_raw_data!$G$2:$G$6</c:f>
              <c:numCache>
                <c:formatCode>General</c:formatCode>
                <c:ptCount val="5"/>
                <c:pt idx="0">
                  <c:v>80</c:v>
                </c:pt>
                <c:pt idx="1">
                  <c:v>604</c:v>
                </c:pt>
                <c:pt idx="2">
                  <c:v>686</c:v>
                </c:pt>
                <c:pt idx="3">
                  <c:v>401</c:v>
                </c:pt>
                <c:pt idx="4">
                  <c:v>890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582848"/>
        <c:axId val="75412608"/>
      </c:barChart>
      <c:catAx>
        <c:axId val="75582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5412608"/>
        <c:crosses val="autoZero"/>
        <c:auto val="1"/>
        <c:lblAlgn val="ctr"/>
        <c:lblOffset val="100"/>
        <c:noMultiLvlLbl val="0"/>
      </c:catAx>
      <c:valAx>
        <c:axId val="75412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582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Macroinvertebrates Manley</a:t>
            </a:r>
            <a:r>
              <a:rPr lang="en-US" baseline="0"/>
              <a:t> Creek</a:t>
            </a:r>
            <a:r>
              <a:rPr lang="en-US"/>
              <a:t> </a:t>
            </a:r>
          </a:p>
        </c:rich>
      </c:tx>
      <c:overlay val="1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v>IBI</c:v>
          </c:tx>
          <c:spPr>
            <a:noFill/>
            <a:ln>
              <a:solidFill>
                <a:schemeClr val="tx1"/>
              </a:solidFill>
            </a:ln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6.7</c:v>
                </c:pt>
                <c:pt idx="1">
                  <c:v>7</c:v>
                </c:pt>
                <c:pt idx="2">
                  <c:v>6.6</c:v>
                </c:pt>
                <c:pt idx="3">
                  <c:v>7</c:v>
                </c:pt>
                <c:pt idx="4">
                  <c:v>4.0999999999999996</c:v>
                </c:pt>
              </c:numCache>
            </c:numRef>
          </c:val>
        </c:ser>
        <c:ser>
          <c:idx val="2"/>
          <c:order val="1"/>
          <c:tx>
            <c:v>EPT Genera</c:v>
          </c:tx>
          <c:spPr>
            <a:solidFill>
              <a:schemeClr val="tx1"/>
            </a:solidFill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71</c:v>
                </c:pt>
                <c:pt idx="1">
                  <c:v>59</c:v>
                </c:pt>
                <c:pt idx="2">
                  <c:v>41</c:v>
                </c:pt>
                <c:pt idx="3">
                  <c:v>29</c:v>
                </c:pt>
                <c:pt idx="4">
                  <c:v>8</c:v>
                </c:pt>
              </c:numCache>
            </c:numRef>
          </c:val>
        </c:ser>
        <c:ser>
          <c:idx val="3"/>
          <c:order val="2"/>
          <c:tx>
            <c:v>Intolerant EPT 2</c:v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  <c:pt idx="0">
                  <c:v>34.799999999999997</c:v>
                </c:pt>
                <c:pt idx="1">
                  <c:v>34.1</c:v>
                </c:pt>
                <c:pt idx="2">
                  <c:v>5.0999999999999996</c:v>
                </c:pt>
                <c:pt idx="3">
                  <c:v>9</c:v>
                </c:pt>
                <c:pt idx="4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847168"/>
        <c:axId val="77849344"/>
      </c:barChart>
      <c:catAx>
        <c:axId val="778471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7849344"/>
        <c:crosses val="autoZero"/>
        <c:auto val="1"/>
        <c:lblAlgn val="ctr"/>
        <c:lblOffset val="100"/>
        <c:noMultiLvlLbl val="0"/>
      </c:catAx>
      <c:valAx>
        <c:axId val="77849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847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758465894004925"/>
          <c:y val="0.35776760889182047"/>
          <c:w val="0.20161912126705114"/>
          <c:h val="0.205349017236719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Brook</a:t>
            </a:r>
            <a:r>
              <a:rPr lang="en-US" baseline="0"/>
              <a:t> Trout Numbers vs. EPT Numbers </a:t>
            </a:r>
            <a:endParaRPr 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fish_raw_data!$G$1</c:f>
              <c:strCache>
                <c:ptCount val="1"/>
                <c:pt idx="0">
                  <c:v>No. of Brook Trout</c:v>
                </c:pt>
              </c:strCache>
            </c:strRef>
          </c:tx>
          <c:cat>
            <c:numLit>
              <c:formatCode>General</c:formatCode>
              <c:ptCount val="5"/>
              <c:pt idx="0">
                <c:v>2010</c:v>
              </c:pt>
              <c:pt idx="1">
                <c:v>2011</c:v>
              </c:pt>
              <c:pt idx="2">
                <c:v>2012</c:v>
              </c:pt>
              <c:pt idx="3">
                <c:v>2013</c:v>
              </c:pt>
              <c:pt idx="4">
                <c:v>2014</c:v>
              </c:pt>
            </c:numLit>
          </c:cat>
          <c:val>
            <c:numRef>
              <c:f>fish_raw_data!$G$2:$G$7</c:f>
              <c:numCache>
                <c:formatCode>General</c:formatCode>
                <c:ptCount val="6"/>
                <c:pt idx="0">
                  <c:v>80</c:v>
                </c:pt>
                <c:pt idx="1">
                  <c:v>604</c:v>
                </c:pt>
                <c:pt idx="2">
                  <c:v>686</c:v>
                </c:pt>
                <c:pt idx="3">
                  <c:v>401</c:v>
                </c:pt>
                <c:pt idx="4">
                  <c:v>890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699712"/>
        <c:axId val="77701504"/>
      </c:lineChart>
      <c:lineChart>
        <c:grouping val="standard"/>
        <c:varyColors val="0"/>
        <c:ser>
          <c:idx val="2"/>
          <c:order val="1"/>
          <c:tx>
            <c:strRef>
              <c:f>fish_raw_data!$H$1</c:f>
              <c:strCache>
                <c:ptCount val="1"/>
                <c:pt idx="0">
                  <c:v>No. of EPT</c:v>
                </c:pt>
              </c:strCache>
            </c:strRef>
          </c:tx>
          <c:cat>
            <c:numLit>
              <c:formatCode>General</c:formatCode>
              <c:ptCount val="5"/>
              <c:pt idx="0">
                <c:v>2010</c:v>
              </c:pt>
              <c:pt idx="1">
                <c:v>2011</c:v>
              </c:pt>
              <c:pt idx="2">
                <c:v>2012</c:v>
              </c:pt>
              <c:pt idx="3">
                <c:v>2013</c:v>
              </c:pt>
              <c:pt idx="4">
                <c:v>2014</c:v>
              </c:pt>
            </c:numLit>
          </c:cat>
          <c:val>
            <c:numRef>
              <c:f>fish_raw_data!$H$2:$H$7</c:f>
              <c:numCache>
                <c:formatCode>General</c:formatCode>
                <c:ptCount val="6"/>
                <c:pt idx="0">
                  <c:v>71</c:v>
                </c:pt>
                <c:pt idx="1">
                  <c:v>59</c:v>
                </c:pt>
                <c:pt idx="2">
                  <c:v>41</c:v>
                </c:pt>
                <c:pt idx="3">
                  <c:v>29</c:v>
                </c:pt>
                <c:pt idx="4">
                  <c:v>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738368"/>
        <c:axId val="77703424"/>
      </c:lineChart>
      <c:catAx>
        <c:axId val="77699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7701504"/>
        <c:crosses val="autoZero"/>
        <c:auto val="1"/>
        <c:lblAlgn val="ctr"/>
        <c:lblOffset val="100"/>
        <c:noMultiLvlLbl val="0"/>
      </c:catAx>
      <c:valAx>
        <c:axId val="777015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No. of Fish</a:t>
                </a:r>
              </a:p>
            </c:rich>
          </c:tx>
          <c:layout>
            <c:manualLayout>
              <c:xMode val="edge"/>
              <c:yMode val="edge"/>
              <c:x val="3.121516164994426E-2"/>
              <c:y val="0.4241039661708953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77699712"/>
        <c:crosses val="autoZero"/>
        <c:crossBetween val="between"/>
      </c:valAx>
      <c:valAx>
        <c:axId val="77703424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No</a:t>
                </a:r>
                <a:r>
                  <a:rPr lang="en-US" baseline="0"/>
                  <a:t> . of EPT Genera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7738368"/>
        <c:crosses val="max"/>
        <c:crossBetween val="between"/>
      </c:valAx>
      <c:catAx>
        <c:axId val="777383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7703424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0.75076</cdr:x>
      <cdr:y>0.93209</cdr:y>
    </cdr:from>
    <cdr:to>
      <cdr:x>0.98684</cdr:x>
      <cdr:y>0.98467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91297" y="4052889"/>
          <a:ext cx="1538077" cy="2285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DNR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Dickson, Caleigh</dc:creator>
  <cp:lastModifiedBy>Unmuth, Jean M</cp:lastModifiedBy>
  <cp:revision>13</cp:revision>
  <dcterms:created xsi:type="dcterms:W3CDTF">2016-07-11T17:45:00Z</dcterms:created>
  <dcterms:modified xsi:type="dcterms:W3CDTF">2016-08-17T14:53:00Z</dcterms:modified>
</cp:coreProperties>
</file>