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5E" w:rsidRPr="00495CE8" w:rsidRDefault="00495CE8" w:rsidP="00F50879">
      <w:pPr>
        <w:spacing w:after="0" w:line="240" w:lineRule="auto"/>
        <w:jc w:val="center"/>
        <w:rPr>
          <w:b/>
          <w:u w:val="single"/>
        </w:rPr>
      </w:pPr>
      <w:r w:rsidRPr="00495CE8">
        <w:rPr>
          <w:b/>
          <w:u w:val="single"/>
        </w:rPr>
        <w:t>WDNR Project Quarterly Reporting</w:t>
      </w:r>
    </w:p>
    <w:p w:rsidR="00495CE8" w:rsidRDefault="00495CE8" w:rsidP="00F50879">
      <w:pPr>
        <w:spacing w:after="0" w:line="240" w:lineRule="auto"/>
        <w:jc w:val="center"/>
        <w:rPr>
          <w:i/>
        </w:rPr>
      </w:pPr>
      <w:r>
        <w:rPr>
          <w:b/>
        </w:rPr>
        <w:t xml:space="preserve">Reporting Period: </w:t>
      </w:r>
      <w:r w:rsidR="001A4E21">
        <w:rPr>
          <w:i/>
        </w:rPr>
        <w:t>Jan 1 2016</w:t>
      </w:r>
      <w:r w:rsidRPr="00495CE8">
        <w:rPr>
          <w:i/>
        </w:rPr>
        <w:t xml:space="preserve"> – </w:t>
      </w:r>
      <w:r w:rsidR="001A4E21">
        <w:rPr>
          <w:i/>
        </w:rPr>
        <w:t>April 30, 2016</w:t>
      </w:r>
    </w:p>
    <w:p w:rsidR="00495CE8" w:rsidRPr="007641B1" w:rsidRDefault="00495CE8" w:rsidP="00495CE8">
      <w:r>
        <w:rPr>
          <w:b/>
        </w:rPr>
        <w:t xml:space="preserve">Project Name: </w:t>
      </w:r>
      <w:r w:rsidR="00F4492E">
        <w:rPr>
          <w:b/>
        </w:rPr>
        <w:t xml:space="preserve"> Sediment Loading Assessment in the Nemadji River Basin</w:t>
      </w:r>
    </w:p>
    <w:p w:rsidR="00495CE8" w:rsidRPr="007641B1" w:rsidRDefault="00495CE8" w:rsidP="00495CE8">
      <w:r>
        <w:rPr>
          <w:b/>
        </w:rPr>
        <w:t>Name and Contact Info:</w:t>
      </w:r>
      <w:r w:rsidR="007641B1">
        <w:rPr>
          <w:b/>
        </w:rPr>
        <w:t xml:space="preserve"> </w:t>
      </w:r>
      <w:r w:rsidR="00F4492E">
        <w:rPr>
          <w:b/>
        </w:rPr>
        <w:t xml:space="preserve">Faith Fitzpatrick, </w:t>
      </w:r>
      <w:hyperlink r:id="rId6" w:history="1">
        <w:r w:rsidR="00F4492E" w:rsidRPr="00900A63">
          <w:rPr>
            <w:rStyle w:val="Hyperlink"/>
            <w:b/>
          </w:rPr>
          <w:t>fafitzpa@usgs.gov</w:t>
        </w:r>
      </w:hyperlink>
      <w:r w:rsidR="00F4492E">
        <w:rPr>
          <w:b/>
        </w:rPr>
        <w:t>, 608-821-3818</w:t>
      </w:r>
    </w:p>
    <w:p w:rsidR="00495CE8" w:rsidRPr="007641B1" w:rsidRDefault="00495CE8" w:rsidP="00495CE8">
      <w:r>
        <w:rPr>
          <w:b/>
        </w:rPr>
        <w:t>Overall Project Status Summary:</w:t>
      </w:r>
      <w:r w:rsidR="007641B1">
        <w:rPr>
          <w:b/>
        </w:rPr>
        <w:t xml:space="preserve"> </w:t>
      </w:r>
    </w:p>
    <w:p w:rsidR="00495CE8" w:rsidRDefault="00F4492E" w:rsidP="00F4492E">
      <w:pPr>
        <w:pStyle w:val="ListParagraph"/>
        <w:numPr>
          <w:ilvl w:val="0"/>
          <w:numId w:val="2"/>
        </w:numPr>
      </w:pPr>
      <w:r>
        <w:t xml:space="preserve">Collected </w:t>
      </w:r>
      <w:r w:rsidR="001A4E21">
        <w:t xml:space="preserve">8 </w:t>
      </w:r>
      <w:r>
        <w:t>out of 10 events.</w:t>
      </w:r>
    </w:p>
    <w:p w:rsidR="00F4492E" w:rsidRPr="007641B1" w:rsidRDefault="001A4E21" w:rsidP="00F4492E">
      <w:pPr>
        <w:pStyle w:val="ListParagraph"/>
        <w:numPr>
          <w:ilvl w:val="0"/>
          <w:numId w:val="2"/>
        </w:numPr>
      </w:pPr>
      <w:r>
        <w:t>Continued</w:t>
      </w:r>
      <w:r w:rsidR="00F4492E">
        <w:t xml:space="preserve"> analyses of </w:t>
      </w:r>
      <w:r>
        <w:t xml:space="preserve">historical </w:t>
      </w:r>
      <w:r w:rsidR="00F4492E">
        <w:t>sediment transport relations</w:t>
      </w:r>
    </w:p>
    <w:p w:rsidR="00495CE8" w:rsidRPr="007641B1" w:rsidRDefault="00495CE8" w:rsidP="00495CE8">
      <w:r>
        <w:rPr>
          <w:b/>
        </w:rPr>
        <w:t xml:space="preserve">Budget Update: Include amount expended, subcontracts or subgrants awarded, jobs created, and local services or products purchased (for this reporting period). </w:t>
      </w:r>
    </w:p>
    <w:p w:rsidR="00F50879" w:rsidRPr="00B1638A" w:rsidRDefault="001A4E21" w:rsidP="00495CE8">
      <w:r>
        <w:t>~70</w:t>
      </w:r>
      <w:r w:rsidR="00B1638A">
        <w:t>% of the funds were spent.</w:t>
      </w:r>
    </w:p>
    <w:p w:rsidR="00495CE8" w:rsidRPr="007641B1" w:rsidRDefault="00495CE8" w:rsidP="00495CE8">
      <w:r>
        <w:rPr>
          <w:b/>
        </w:rPr>
        <w:t xml:space="preserve">Work accomplished this reporting period: </w:t>
      </w:r>
    </w:p>
    <w:p w:rsidR="00495CE8" w:rsidRDefault="001A4E21" w:rsidP="00495CE8">
      <w:r>
        <w:t>Two sets of samples were collected during spring runoff events of 2,000 and 4,700 ft</w:t>
      </w:r>
      <w:r w:rsidRPr="001A4E21">
        <w:rPr>
          <w:vertAlign w:val="superscript"/>
        </w:rPr>
        <w:t>3</w:t>
      </w:r>
      <w:r>
        <w:t>/s</w:t>
      </w:r>
      <w:r w:rsidR="00F4492E">
        <w:t xml:space="preserve">. </w:t>
      </w:r>
      <w:r>
        <w:t xml:space="preserve">We were lucky to catch a </w:t>
      </w:r>
      <w:proofErr w:type="spellStart"/>
      <w:r>
        <w:t>bankfull</w:t>
      </w:r>
      <w:proofErr w:type="spellEnd"/>
      <w:r>
        <w:t xml:space="preserve"> event on 4/25, which is what we planned on doing. </w:t>
      </w:r>
      <w:r w:rsidR="00F4492E">
        <w:t xml:space="preserve">Samples were submitted to </w:t>
      </w:r>
      <w:r w:rsidR="00D85731">
        <w:t xml:space="preserve">respective </w:t>
      </w:r>
      <w:r w:rsidR="00F4492E">
        <w:t xml:space="preserve">labs for </w:t>
      </w:r>
      <w:r w:rsidR="00D85731">
        <w:t>analyses.</w:t>
      </w:r>
    </w:p>
    <w:p w:rsidR="00F4492E" w:rsidRDefault="00F4492E" w:rsidP="00F4492E">
      <w:r>
        <w:t>Table 1. Sampled Events at the Nemadji River USGS gage.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4492E" w:rsidTr="00F4492E">
        <w:tc>
          <w:tcPr>
            <w:tcW w:w="2952" w:type="dxa"/>
          </w:tcPr>
          <w:p w:rsidR="00F4492E" w:rsidRDefault="00F4492E" w:rsidP="006740D7">
            <w:r>
              <w:t>Sample #</w:t>
            </w:r>
          </w:p>
        </w:tc>
        <w:tc>
          <w:tcPr>
            <w:tcW w:w="2952" w:type="dxa"/>
          </w:tcPr>
          <w:p w:rsidR="00F4492E" w:rsidRDefault="00F4492E" w:rsidP="006740D7">
            <w:r>
              <w:t>Date</w:t>
            </w:r>
          </w:p>
        </w:tc>
        <w:tc>
          <w:tcPr>
            <w:tcW w:w="2952" w:type="dxa"/>
          </w:tcPr>
          <w:p w:rsidR="00F4492E" w:rsidRDefault="00F4492E" w:rsidP="006740D7">
            <w:r>
              <w:t>Discharge</w:t>
            </w:r>
          </w:p>
        </w:tc>
      </w:tr>
      <w:tr w:rsidR="00F4492E" w:rsidTr="00F4492E">
        <w:tc>
          <w:tcPr>
            <w:tcW w:w="2952" w:type="dxa"/>
          </w:tcPr>
          <w:p w:rsidR="00F4492E" w:rsidRDefault="00F4492E" w:rsidP="006740D7">
            <w:r>
              <w:t>NM-1</w:t>
            </w:r>
          </w:p>
        </w:tc>
        <w:tc>
          <w:tcPr>
            <w:tcW w:w="2952" w:type="dxa"/>
          </w:tcPr>
          <w:p w:rsidR="00F4492E" w:rsidRDefault="00F4492E" w:rsidP="006740D7">
            <w:r>
              <w:t>7/7/2015</w:t>
            </w:r>
          </w:p>
        </w:tc>
        <w:tc>
          <w:tcPr>
            <w:tcW w:w="2952" w:type="dxa"/>
          </w:tcPr>
          <w:p w:rsidR="00F4492E" w:rsidRDefault="00F4492E" w:rsidP="006740D7">
            <w:r>
              <w:t>2,960</w:t>
            </w:r>
          </w:p>
        </w:tc>
      </w:tr>
      <w:tr w:rsidR="00F4492E" w:rsidTr="00F4492E">
        <w:tc>
          <w:tcPr>
            <w:tcW w:w="2952" w:type="dxa"/>
          </w:tcPr>
          <w:p w:rsidR="00F4492E" w:rsidRDefault="00F4492E" w:rsidP="006740D7">
            <w:r>
              <w:t>NM-2</w:t>
            </w:r>
          </w:p>
        </w:tc>
        <w:tc>
          <w:tcPr>
            <w:tcW w:w="2952" w:type="dxa"/>
          </w:tcPr>
          <w:p w:rsidR="00F4492E" w:rsidRDefault="00F4492E" w:rsidP="006740D7">
            <w:r>
              <w:t>7/8/2015</w:t>
            </w:r>
          </w:p>
        </w:tc>
        <w:tc>
          <w:tcPr>
            <w:tcW w:w="2952" w:type="dxa"/>
          </w:tcPr>
          <w:p w:rsidR="00F4492E" w:rsidRDefault="00F4492E" w:rsidP="006740D7">
            <w:r>
              <w:t>1,540</w:t>
            </w:r>
          </w:p>
        </w:tc>
      </w:tr>
      <w:tr w:rsidR="00F4492E" w:rsidTr="00F4492E">
        <w:tc>
          <w:tcPr>
            <w:tcW w:w="2952" w:type="dxa"/>
          </w:tcPr>
          <w:p w:rsidR="00F4492E" w:rsidRDefault="00F4492E" w:rsidP="006740D7">
            <w:r>
              <w:t>NM-3</w:t>
            </w:r>
          </w:p>
        </w:tc>
        <w:tc>
          <w:tcPr>
            <w:tcW w:w="2952" w:type="dxa"/>
          </w:tcPr>
          <w:p w:rsidR="00F4492E" w:rsidRDefault="00F4492E" w:rsidP="006740D7">
            <w:r>
              <w:t>10/28/2015</w:t>
            </w:r>
          </w:p>
        </w:tc>
        <w:tc>
          <w:tcPr>
            <w:tcW w:w="2952" w:type="dxa"/>
          </w:tcPr>
          <w:p w:rsidR="00F4492E" w:rsidRDefault="00F4492E" w:rsidP="006740D7">
            <w:r>
              <w:t>365</w:t>
            </w:r>
          </w:p>
        </w:tc>
      </w:tr>
      <w:tr w:rsidR="00F4492E" w:rsidTr="00F4492E">
        <w:tc>
          <w:tcPr>
            <w:tcW w:w="2952" w:type="dxa"/>
          </w:tcPr>
          <w:p w:rsidR="00F4492E" w:rsidRDefault="00F4492E" w:rsidP="006740D7">
            <w:r>
              <w:t>NM-4</w:t>
            </w:r>
          </w:p>
        </w:tc>
        <w:tc>
          <w:tcPr>
            <w:tcW w:w="2952" w:type="dxa"/>
          </w:tcPr>
          <w:p w:rsidR="00F4492E" w:rsidRDefault="00F4492E" w:rsidP="006740D7">
            <w:r>
              <w:t>11/6/2015</w:t>
            </w:r>
          </w:p>
        </w:tc>
        <w:tc>
          <w:tcPr>
            <w:tcW w:w="2952" w:type="dxa"/>
          </w:tcPr>
          <w:p w:rsidR="00F4492E" w:rsidRDefault="00F4492E" w:rsidP="006740D7">
            <w:r>
              <w:t>300</w:t>
            </w:r>
          </w:p>
        </w:tc>
      </w:tr>
      <w:tr w:rsidR="00F4492E" w:rsidTr="00F4492E">
        <w:tc>
          <w:tcPr>
            <w:tcW w:w="2952" w:type="dxa"/>
          </w:tcPr>
          <w:p w:rsidR="00F4492E" w:rsidRDefault="00F4492E" w:rsidP="006740D7">
            <w:r>
              <w:t>NM-5</w:t>
            </w:r>
          </w:p>
        </w:tc>
        <w:tc>
          <w:tcPr>
            <w:tcW w:w="2952" w:type="dxa"/>
          </w:tcPr>
          <w:p w:rsidR="00F4492E" w:rsidRDefault="00F4492E" w:rsidP="006740D7">
            <w:r>
              <w:t>11/17/2015</w:t>
            </w:r>
          </w:p>
        </w:tc>
        <w:tc>
          <w:tcPr>
            <w:tcW w:w="2952" w:type="dxa"/>
          </w:tcPr>
          <w:p w:rsidR="00F4492E" w:rsidRDefault="00F4492E" w:rsidP="006740D7">
            <w:r>
              <w:t>648</w:t>
            </w:r>
          </w:p>
        </w:tc>
      </w:tr>
      <w:tr w:rsidR="00F4492E" w:rsidTr="00F4492E">
        <w:tc>
          <w:tcPr>
            <w:tcW w:w="2952" w:type="dxa"/>
          </w:tcPr>
          <w:p w:rsidR="00F4492E" w:rsidRDefault="00F4492E" w:rsidP="006740D7">
            <w:r>
              <w:t>NM-6</w:t>
            </w:r>
          </w:p>
        </w:tc>
        <w:tc>
          <w:tcPr>
            <w:tcW w:w="2952" w:type="dxa"/>
          </w:tcPr>
          <w:p w:rsidR="00F4492E" w:rsidRDefault="00F4492E" w:rsidP="006740D7">
            <w:r>
              <w:t>11/18/2015</w:t>
            </w:r>
          </w:p>
        </w:tc>
        <w:tc>
          <w:tcPr>
            <w:tcW w:w="2952" w:type="dxa"/>
          </w:tcPr>
          <w:p w:rsidR="00F4492E" w:rsidRDefault="00F4492E" w:rsidP="006740D7">
            <w:r>
              <w:t>1870</w:t>
            </w:r>
          </w:p>
        </w:tc>
      </w:tr>
      <w:tr w:rsidR="001A4E21" w:rsidTr="00F4492E">
        <w:tc>
          <w:tcPr>
            <w:tcW w:w="2952" w:type="dxa"/>
          </w:tcPr>
          <w:p w:rsidR="001A4E21" w:rsidRDefault="001A4E21" w:rsidP="001A4E21">
            <w:r>
              <w:t>NM-7</w:t>
            </w:r>
          </w:p>
        </w:tc>
        <w:tc>
          <w:tcPr>
            <w:tcW w:w="2952" w:type="dxa"/>
          </w:tcPr>
          <w:p w:rsidR="001A4E21" w:rsidRDefault="001A4E21" w:rsidP="001A4E21">
            <w:r>
              <w:t>3/31/2016</w:t>
            </w:r>
          </w:p>
        </w:tc>
        <w:tc>
          <w:tcPr>
            <w:tcW w:w="2952" w:type="dxa"/>
          </w:tcPr>
          <w:p w:rsidR="001A4E21" w:rsidRDefault="001A4E21" w:rsidP="001A4E21">
            <w:r>
              <w:t>~2000</w:t>
            </w:r>
          </w:p>
        </w:tc>
      </w:tr>
      <w:tr w:rsidR="001A4E21" w:rsidTr="00F4492E">
        <w:tc>
          <w:tcPr>
            <w:tcW w:w="2952" w:type="dxa"/>
          </w:tcPr>
          <w:p w:rsidR="001A4E21" w:rsidRDefault="001A4E21" w:rsidP="001A4E21">
            <w:r>
              <w:t>NM-8</w:t>
            </w:r>
          </w:p>
        </w:tc>
        <w:tc>
          <w:tcPr>
            <w:tcW w:w="2952" w:type="dxa"/>
          </w:tcPr>
          <w:p w:rsidR="001A4E21" w:rsidRDefault="001A4E21" w:rsidP="001A4E21">
            <w:r>
              <w:t>4/25/2016</w:t>
            </w:r>
          </w:p>
        </w:tc>
        <w:tc>
          <w:tcPr>
            <w:tcW w:w="2952" w:type="dxa"/>
          </w:tcPr>
          <w:p w:rsidR="001A4E21" w:rsidRDefault="001A4E21" w:rsidP="001A4E21">
            <w:r>
              <w:t>~4700</w:t>
            </w:r>
          </w:p>
        </w:tc>
      </w:tr>
      <w:tr w:rsidR="00F4492E" w:rsidTr="00F4492E">
        <w:tc>
          <w:tcPr>
            <w:tcW w:w="2952" w:type="dxa"/>
          </w:tcPr>
          <w:p w:rsidR="00F4492E" w:rsidRDefault="00F4492E" w:rsidP="006740D7">
            <w:r>
              <w:t>9</w:t>
            </w:r>
          </w:p>
        </w:tc>
        <w:tc>
          <w:tcPr>
            <w:tcW w:w="2952" w:type="dxa"/>
          </w:tcPr>
          <w:p w:rsidR="00F4492E" w:rsidRDefault="00F4492E" w:rsidP="006740D7"/>
        </w:tc>
        <w:tc>
          <w:tcPr>
            <w:tcW w:w="2952" w:type="dxa"/>
          </w:tcPr>
          <w:p w:rsidR="00F4492E" w:rsidRDefault="00F4492E" w:rsidP="006740D7"/>
        </w:tc>
      </w:tr>
      <w:tr w:rsidR="00F4492E" w:rsidTr="00F4492E">
        <w:tc>
          <w:tcPr>
            <w:tcW w:w="2952" w:type="dxa"/>
          </w:tcPr>
          <w:p w:rsidR="00F4492E" w:rsidRDefault="00F4492E" w:rsidP="006740D7">
            <w:r>
              <w:t>10</w:t>
            </w:r>
          </w:p>
        </w:tc>
        <w:tc>
          <w:tcPr>
            <w:tcW w:w="2952" w:type="dxa"/>
          </w:tcPr>
          <w:p w:rsidR="00F4492E" w:rsidRDefault="00F4492E" w:rsidP="006740D7"/>
        </w:tc>
        <w:tc>
          <w:tcPr>
            <w:tcW w:w="2952" w:type="dxa"/>
          </w:tcPr>
          <w:p w:rsidR="00F4492E" w:rsidRDefault="00F4492E" w:rsidP="006740D7"/>
        </w:tc>
      </w:tr>
    </w:tbl>
    <w:p w:rsidR="00F50879" w:rsidRDefault="00F50879" w:rsidP="00495CE8">
      <w:pPr>
        <w:rPr>
          <w:b/>
        </w:rPr>
      </w:pPr>
    </w:p>
    <w:p w:rsidR="00D85731" w:rsidRDefault="00D85731" w:rsidP="00D8573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following contains a list of the types of samples that were collected for each sampling set. </w:t>
      </w:r>
      <w:r>
        <w:rPr>
          <w:rFonts w:ascii="Calibri" w:hAnsi="Calibri" w:cs="Calibri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9"/>
        <w:gridCol w:w="2567"/>
        <w:gridCol w:w="2384"/>
      </w:tblGrid>
      <w:tr w:rsidR="00D85731" w:rsidRPr="00887AEB" w:rsidTr="00D85731">
        <w:trPr>
          <w:trHeight w:val="395"/>
        </w:trPr>
        <w:tc>
          <w:tcPr>
            <w:tcW w:w="2609" w:type="dxa"/>
            <w:hideMark/>
          </w:tcPr>
          <w:p w:rsidR="00D85731" w:rsidRPr="00887AEB" w:rsidRDefault="00D85731" w:rsidP="006740D7">
            <w:pPr>
              <w:rPr>
                <w:b/>
                <w:sz w:val="18"/>
                <w:szCs w:val="18"/>
              </w:rPr>
            </w:pPr>
            <w:r w:rsidRPr="00887AEB">
              <w:rPr>
                <w:b/>
                <w:sz w:val="18"/>
                <w:szCs w:val="18"/>
              </w:rPr>
              <w:t>Sample Type</w:t>
            </w:r>
          </w:p>
        </w:tc>
        <w:tc>
          <w:tcPr>
            <w:tcW w:w="2567" w:type="dxa"/>
            <w:hideMark/>
          </w:tcPr>
          <w:p w:rsidR="00D85731" w:rsidRPr="00887AEB" w:rsidRDefault="00D85731" w:rsidP="006740D7">
            <w:pPr>
              <w:rPr>
                <w:b/>
                <w:sz w:val="18"/>
                <w:szCs w:val="18"/>
              </w:rPr>
            </w:pPr>
            <w:r w:rsidRPr="00887AEB">
              <w:rPr>
                <w:b/>
                <w:sz w:val="18"/>
                <w:szCs w:val="18"/>
              </w:rPr>
              <w:t>field container type</w:t>
            </w:r>
          </w:p>
        </w:tc>
        <w:tc>
          <w:tcPr>
            <w:tcW w:w="2384" w:type="dxa"/>
          </w:tcPr>
          <w:p w:rsidR="00D85731" w:rsidRPr="00887AEB" w:rsidRDefault="00D85731" w:rsidP="006740D7">
            <w:pPr>
              <w:rPr>
                <w:b/>
                <w:sz w:val="18"/>
                <w:szCs w:val="18"/>
              </w:rPr>
            </w:pPr>
            <w:r w:rsidRPr="00887AEB">
              <w:rPr>
                <w:b/>
                <w:sz w:val="18"/>
                <w:szCs w:val="18"/>
              </w:rPr>
              <w:t>Laboratory</w:t>
            </w:r>
          </w:p>
        </w:tc>
      </w:tr>
      <w:tr w:rsidR="00D85731" w:rsidRPr="00887AEB" w:rsidTr="00D85731">
        <w:trPr>
          <w:trHeight w:val="1160"/>
        </w:trPr>
        <w:tc>
          <w:tcPr>
            <w:tcW w:w="2609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Nutrients/Weighted bottle 1</w:t>
            </w:r>
          </w:p>
        </w:tc>
        <w:tc>
          <w:tcPr>
            <w:tcW w:w="2567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 xml:space="preserve">1/2 full clear plastic weighted bottle immediately transferred into 125 ml clear plastic acidified and refrigerated </w:t>
            </w:r>
          </w:p>
        </w:tc>
        <w:tc>
          <w:tcPr>
            <w:tcW w:w="2384" w:type="dxa"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NWQL</w:t>
            </w:r>
          </w:p>
        </w:tc>
      </w:tr>
      <w:tr w:rsidR="00D85731" w:rsidRPr="00887AEB" w:rsidTr="00D85731">
        <w:trPr>
          <w:trHeight w:val="600"/>
        </w:trPr>
        <w:tc>
          <w:tcPr>
            <w:tcW w:w="2609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lastRenderedPageBreak/>
              <w:t>TSS/SSC Weighted bottle 2</w:t>
            </w:r>
          </w:p>
        </w:tc>
        <w:tc>
          <w:tcPr>
            <w:tcW w:w="2567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Full clear plastic weighted bottle  (equal split later at WI lab)</w:t>
            </w:r>
          </w:p>
        </w:tc>
        <w:tc>
          <w:tcPr>
            <w:tcW w:w="2384" w:type="dxa"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TSS @ SLOH, SSC @ KY LAB</w:t>
            </w:r>
          </w:p>
        </w:tc>
      </w:tr>
      <w:tr w:rsidR="00D85731" w:rsidRPr="00887AEB" w:rsidTr="00D85731">
        <w:trPr>
          <w:trHeight w:val="600"/>
        </w:trPr>
        <w:tc>
          <w:tcPr>
            <w:tcW w:w="2609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 xml:space="preserve">TSS/SSC EWI-ETR </w:t>
            </w:r>
          </w:p>
        </w:tc>
        <w:tc>
          <w:tcPr>
            <w:tcW w:w="2567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~10 glass pint milk bottles (1/10 TSS, 9/10 SSC split later at WI lab)</w:t>
            </w:r>
          </w:p>
        </w:tc>
        <w:tc>
          <w:tcPr>
            <w:tcW w:w="2384" w:type="dxa"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 xml:space="preserve">TSS @ SLOH, SSC/PSD @ KY LAB </w:t>
            </w:r>
          </w:p>
        </w:tc>
      </w:tr>
      <w:tr w:rsidR="00D85731" w:rsidRPr="00887AEB" w:rsidTr="00D85731">
        <w:trPr>
          <w:trHeight w:val="600"/>
        </w:trPr>
        <w:tc>
          <w:tcPr>
            <w:tcW w:w="2609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bed material</w:t>
            </w:r>
          </w:p>
        </w:tc>
        <w:tc>
          <w:tcPr>
            <w:tcW w:w="2567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~10 plastic containers</w:t>
            </w:r>
          </w:p>
        </w:tc>
        <w:tc>
          <w:tcPr>
            <w:tcW w:w="2384" w:type="dxa"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WI WSC LAB</w:t>
            </w:r>
          </w:p>
        </w:tc>
      </w:tr>
      <w:tr w:rsidR="00D85731" w:rsidRPr="00887AEB" w:rsidTr="00D85731">
        <w:trPr>
          <w:trHeight w:val="600"/>
        </w:trPr>
        <w:tc>
          <w:tcPr>
            <w:tcW w:w="2609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bedload</w:t>
            </w:r>
          </w:p>
        </w:tc>
        <w:tc>
          <w:tcPr>
            <w:tcW w:w="2567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2+ plastic containers</w:t>
            </w:r>
          </w:p>
        </w:tc>
        <w:tc>
          <w:tcPr>
            <w:tcW w:w="2384" w:type="dxa"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WI WSC LAB</w:t>
            </w:r>
          </w:p>
        </w:tc>
      </w:tr>
    </w:tbl>
    <w:p w:rsidR="00D85731" w:rsidRDefault="00D85731" w:rsidP="00D85731">
      <w:pPr>
        <w:ind w:left="720"/>
        <w:rPr>
          <w:rFonts w:ascii="Calibri" w:hAnsi="Calibri" w:cs="Calibri"/>
        </w:rPr>
      </w:pPr>
    </w:p>
    <w:p w:rsidR="00D85731" w:rsidRDefault="00D85731" w:rsidP="00495CE8">
      <w:pPr>
        <w:rPr>
          <w:b/>
        </w:rPr>
      </w:pPr>
    </w:p>
    <w:p w:rsidR="00495CE8" w:rsidRDefault="00495CE8" w:rsidP="00495CE8">
      <w:pPr>
        <w:rPr>
          <w:b/>
        </w:rPr>
      </w:pPr>
      <w:r>
        <w:rPr>
          <w:b/>
        </w:rPr>
        <w:t xml:space="preserve">Work goals for coming reporting period: </w:t>
      </w:r>
    </w:p>
    <w:p w:rsidR="00F4492E" w:rsidRPr="00D85731" w:rsidRDefault="00F4492E" w:rsidP="00F4492E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</w:rPr>
      </w:pPr>
      <w:r w:rsidRPr="00D85731">
        <w:rPr>
          <w:rFonts w:ascii="Calibri" w:hAnsi="Calibri" w:cs="Calibri"/>
          <w:b/>
        </w:rPr>
        <w:t>Sediment sampling</w:t>
      </w:r>
      <w:r w:rsidRPr="00D85731">
        <w:rPr>
          <w:rFonts w:ascii="Calibri" w:hAnsi="Calibri" w:cs="Calibri"/>
        </w:rPr>
        <w:t xml:space="preserve"> </w:t>
      </w:r>
      <w:r w:rsidR="001A4E21">
        <w:rPr>
          <w:rFonts w:ascii="Calibri" w:hAnsi="Calibri" w:cs="Calibri"/>
        </w:rPr>
        <w:t>–</w:t>
      </w:r>
      <w:r w:rsidRPr="00D85731">
        <w:rPr>
          <w:rFonts w:ascii="Calibri" w:hAnsi="Calibri" w:cs="Calibri"/>
        </w:rPr>
        <w:t xml:space="preserve"> </w:t>
      </w:r>
      <w:r w:rsidR="001A4E21">
        <w:rPr>
          <w:rFonts w:ascii="Calibri" w:hAnsi="Calibri" w:cs="Calibri"/>
        </w:rPr>
        <w:t>The last flow that we need is a low flow sample, which we hope to get during the early summer. And we have one more event that can be sampled within our budget</w:t>
      </w:r>
      <w:r w:rsidRPr="00D85731">
        <w:rPr>
          <w:rFonts w:ascii="Calibri" w:hAnsi="Calibri" w:cs="Calibri"/>
        </w:rPr>
        <w:t xml:space="preserve">. The historical range of MPCA TSS samples range from flows of 100 to 17,000 cfs. </w:t>
      </w:r>
    </w:p>
    <w:p w:rsidR="00D85731" w:rsidRPr="00D85731" w:rsidRDefault="00D85731" w:rsidP="00B1638A">
      <w:pPr>
        <w:spacing w:after="0" w:line="240" w:lineRule="auto"/>
        <w:ind w:left="360"/>
        <w:rPr>
          <w:rFonts w:ascii="Calibri" w:hAnsi="Calibri" w:cs="Calibri"/>
          <w:b/>
        </w:rPr>
      </w:pPr>
    </w:p>
    <w:p w:rsidR="00F4492E" w:rsidRPr="000108AB" w:rsidRDefault="00F4492E" w:rsidP="00F4492E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Sediment transport analyses – </w:t>
      </w:r>
      <w:r w:rsidR="00D85731">
        <w:rPr>
          <w:rFonts w:ascii="Calibri" w:hAnsi="Calibri" w:cs="Calibri"/>
        </w:rPr>
        <w:t>Review of historical data will continue</w:t>
      </w:r>
      <w:r w:rsidR="00D85731" w:rsidRPr="00D85731">
        <w:rPr>
          <w:rFonts w:ascii="Calibri" w:hAnsi="Calibri" w:cs="Calibri"/>
          <w:b/>
        </w:rPr>
        <w:t>.</w:t>
      </w:r>
      <w:r w:rsidR="00D85731">
        <w:rPr>
          <w:rFonts w:ascii="Calibri" w:hAnsi="Calibri" w:cs="Calibri"/>
          <w:b/>
        </w:rPr>
        <w:t xml:space="preserve">  </w:t>
      </w:r>
      <w:r w:rsidR="00D85731">
        <w:rPr>
          <w:rFonts w:ascii="Calibri" w:hAnsi="Calibri" w:cs="Calibri"/>
        </w:rPr>
        <w:t xml:space="preserve">Data compilation on rating shifts will be </w:t>
      </w:r>
      <w:r w:rsidR="00B1638A">
        <w:rPr>
          <w:rFonts w:ascii="Calibri" w:hAnsi="Calibri" w:cs="Calibri"/>
        </w:rPr>
        <w:t>continued</w:t>
      </w:r>
      <w:r w:rsidR="00D85731">
        <w:rPr>
          <w:rFonts w:ascii="Calibri" w:hAnsi="Calibri" w:cs="Calibri"/>
        </w:rPr>
        <w:t>.</w:t>
      </w:r>
      <w:bookmarkStart w:id="0" w:name="_GoBack"/>
      <w:bookmarkEnd w:id="0"/>
    </w:p>
    <w:p w:rsidR="00495CE8" w:rsidRPr="007641B1" w:rsidRDefault="00495CE8" w:rsidP="00495CE8"/>
    <w:sectPr w:rsidR="00495CE8" w:rsidRPr="0076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969C1"/>
    <w:multiLevelType w:val="hybridMultilevel"/>
    <w:tmpl w:val="E102AEA2"/>
    <w:lvl w:ilvl="0" w:tplc="823A5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2F5E"/>
    <w:multiLevelType w:val="hybridMultilevel"/>
    <w:tmpl w:val="F3FA4480"/>
    <w:lvl w:ilvl="0" w:tplc="05784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2CA1"/>
    <w:multiLevelType w:val="hybridMultilevel"/>
    <w:tmpl w:val="9D1E0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E8"/>
    <w:rsid w:val="00127B22"/>
    <w:rsid w:val="001A4E21"/>
    <w:rsid w:val="00495CE8"/>
    <w:rsid w:val="004C273E"/>
    <w:rsid w:val="007641B1"/>
    <w:rsid w:val="00B1638A"/>
    <w:rsid w:val="00D1585E"/>
    <w:rsid w:val="00D85731"/>
    <w:rsid w:val="00F4492E"/>
    <w:rsid w:val="00F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0E97C-0154-43C3-A4E9-63125797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9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92E"/>
    <w:pPr>
      <w:ind w:left="720"/>
      <w:contextualSpacing/>
    </w:pPr>
  </w:style>
  <w:style w:type="table" w:styleId="TableGrid">
    <w:name w:val="Table Grid"/>
    <w:basedOn w:val="TableNormal"/>
    <w:uiPriority w:val="59"/>
    <w:rsid w:val="00F4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fitzpa@usg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4A9B-9D29-4B78-91AE-74E7399B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Wick</dc:creator>
  <cp:lastModifiedBy>Fitzpatrick, Faith A</cp:lastModifiedBy>
  <cp:revision>3</cp:revision>
  <dcterms:created xsi:type="dcterms:W3CDTF">2016-10-31T16:25:00Z</dcterms:created>
  <dcterms:modified xsi:type="dcterms:W3CDTF">2016-10-31T16:30:00Z</dcterms:modified>
</cp:coreProperties>
</file>