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03C9" w:rsidRDefault="00BC66BF" w:rsidP="008F2107">
      <w:pPr>
        <w:jc w:val="center"/>
      </w:pPr>
      <w:r>
        <w:t>An Assessment of</w:t>
      </w:r>
    </w:p>
    <w:p w:rsidR="00BC66BF" w:rsidRDefault="00BC66BF" w:rsidP="008F2107">
      <w:pPr>
        <w:jc w:val="center"/>
      </w:pPr>
    </w:p>
    <w:p w:rsidR="00BC66BF" w:rsidRDefault="00BC66BF" w:rsidP="008F2107">
      <w:pPr>
        <w:jc w:val="center"/>
      </w:pPr>
      <w:r>
        <w:t>Water Quality</w:t>
      </w:r>
    </w:p>
    <w:p w:rsidR="00BC66BF" w:rsidRDefault="00BC66BF" w:rsidP="008F2107">
      <w:pPr>
        <w:jc w:val="center"/>
      </w:pPr>
    </w:p>
    <w:p w:rsidR="00BC66BF" w:rsidRDefault="00BC66BF" w:rsidP="008F2107">
      <w:pPr>
        <w:jc w:val="center"/>
      </w:pPr>
      <w:r>
        <w:t>In</w:t>
      </w:r>
    </w:p>
    <w:p w:rsidR="00BC66BF" w:rsidRDefault="00BC66BF" w:rsidP="008F2107">
      <w:pPr>
        <w:jc w:val="center"/>
      </w:pPr>
    </w:p>
    <w:p w:rsidR="00BC66BF" w:rsidRPr="008F2107" w:rsidRDefault="00BC66BF" w:rsidP="008F2107">
      <w:pPr>
        <w:jc w:val="center"/>
        <w:rPr>
          <w:b/>
          <w:sz w:val="32"/>
          <w:szCs w:val="32"/>
        </w:rPr>
      </w:pPr>
      <w:r w:rsidRPr="008F2107">
        <w:rPr>
          <w:b/>
          <w:sz w:val="32"/>
          <w:szCs w:val="32"/>
        </w:rPr>
        <w:t>The Mineral Point and Sudan Branch</w:t>
      </w:r>
      <w:r w:rsidR="008F2107">
        <w:rPr>
          <w:b/>
          <w:sz w:val="32"/>
          <w:szCs w:val="32"/>
        </w:rPr>
        <w:t>es</w:t>
      </w:r>
      <w:r w:rsidRPr="008F2107">
        <w:rPr>
          <w:b/>
          <w:sz w:val="32"/>
          <w:szCs w:val="32"/>
        </w:rPr>
        <w:t xml:space="preserve"> Watershed</w:t>
      </w:r>
    </w:p>
    <w:p w:rsidR="00BC66BF" w:rsidRDefault="00BC66BF" w:rsidP="008F2107">
      <w:pPr>
        <w:jc w:val="center"/>
      </w:pPr>
    </w:p>
    <w:p w:rsidR="00BC66BF" w:rsidRDefault="00BC66BF" w:rsidP="008F2107">
      <w:pPr>
        <w:jc w:val="center"/>
      </w:pPr>
      <w:r>
        <w:t>HUC 10 = 0709000301</w:t>
      </w:r>
    </w:p>
    <w:p w:rsidR="00BC66BF" w:rsidRDefault="00BC66BF" w:rsidP="008F2107">
      <w:pPr>
        <w:jc w:val="center"/>
      </w:pPr>
    </w:p>
    <w:p w:rsidR="00BC66BF" w:rsidRPr="008F2107" w:rsidRDefault="00BC66BF" w:rsidP="008F2107">
      <w:pPr>
        <w:jc w:val="center"/>
        <w:rPr>
          <w:b/>
        </w:rPr>
      </w:pPr>
      <w:r w:rsidRPr="008F2107">
        <w:rPr>
          <w:b/>
        </w:rPr>
        <w:t>2015</w:t>
      </w:r>
    </w:p>
    <w:p w:rsidR="00BC66BF" w:rsidRDefault="00BC66BF" w:rsidP="008F2107">
      <w:pPr>
        <w:jc w:val="center"/>
      </w:pPr>
    </w:p>
    <w:p w:rsidR="00BC66BF" w:rsidRDefault="00BC66BF" w:rsidP="008F2107">
      <w:pPr>
        <w:jc w:val="center"/>
      </w:pPr>
      <w:r>
        <w:t>Iowa and Lafayette Co. Wisconsin</w:t>
      </w:r>
    </w:p>
    <w:p w:rsidR="00BC66BF" w:rsidRDefault="00BC66BF" w:rsidP="008F2107">
      <w:pPr>
        <w:jc w:val="center"/>
      </w:pPr>
    </w:p>
    <w:p w:rsidR="00BC66BF" w:rsidRPr="00700DA3" w:rsidRDefault="00BC66BF" w:rsidP="008F2107">
      <w:pPr>
        <w:jc w:val="center"/>
        <w:rPr>
          <w:sz w:val="18"/>
          <w:szCs w:val="18"/>
        </w:rPr>
      </w:pPr>
      <w:r w:rsidRPr="00700DA3">
        <w:rPr>
          <w:sz w:val="20"/>
          <w:szCs w:val="20"/>
        </w:rPr>
        <w:t>Projects</w:t>
      </w:r>
      <w:r>
        <w:t>:</w:t>
      </w:r>
      <w:r w:rsidR="00700DA3">
        <w:t xml:space="preserve"> </w:t>
      </w:r>
      <w:r w:rsidR="00700DA3" w:rsidRPr="00700DA3">
        <w:rPr>
          <w:sz w:val="18"/>
          <w:szCs w:val="18"/>
        </w:rPr>
        <w:t>Mineral Point Branch HUC 12 TWA and Mineral Point Watershed Local Needs SCR_03_CMP15</w:t>
      </w:r>
    </w:p>
    <w:p w:rsidR="00BC66BF" w:rsidRDefault="00BC66BF"/>
    <w:p w:rsidR="00BC66BF" w:rsidRDefault="008F2107">
      <w:r>
        <w:rPr>
          <w:noProof/>
        </w:rPr>
        <w:drawing>
          <wp:inline distT="0" distB="0" distL="0" distR="0">
            <wp:extent cx="5486400" cy="4113754"/>
            <wp:effectExtent l="0" t="0" r="0" b="1270"/>
            <wp:docPr id="14" name="Picture 14" descr="C:\Users\amrhej\Pictures\Mineral Point and Sudan Br (2015)\Sudan Br off Stude 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mrhej\Pictures\Mineral Point and Sudan Br (2015)\Sudan Br off Stude Rd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4113754"/>
                    </a:xfrm>
                    <a:prstGeom prst="rect">
                      <a:avLst/>
                    </a:prstGeom>
                    <a:noFill/>
                    <a:ln>
                      <a:noFill/>
                    </a:ln>
                  </pic:spPr>
                </pic:pic>
              </a:graphicData>
            </a:graphic>
          </wp:inline>
        </w:drawing>
      </w:r>
    </w:p>
    <w:p w:rsidR="0078159C" w:rsidRPr="008F2107" w:rsidRDefault="008F2107">
      <w:pPr>
        <w:rPr>
          <w:sz w:val="18"/>
          <w:szCs w:val="18"/>
        </w:rPr>
      </w:pPr>
      <w:r w:rsidRPr="008F2107">
        <w:rPr>
          <w:sz w:val="18"/>
          <w:szCs w:val="18"/>
        </w:rPr>
        <w:t>Sudan Branch off Stude Road</w:t>
      </w:r>
    </w:p>
    <w:p w:rsidR="0078159C" w:rsidRDefault="0078159C"/>
    <w:p w:rsidR="00BC66BF" w:rsidRDefault="00BC66BF" w:rsidP="008F2107">
      <w:pPr>
        <w:jc w:val="center"/>
      </w:pPr>
      <w:r>
        <w:t>By James Amrhein</w:t>
      </w:r>
    </w:p>
    <w:p w:rsidR="00BC66BF" w:rsidRDefault="00BC66BF" w:rsidP="008F2107">
      <w:pPr>
        <w:jc w:val="center"/>
      </w:pPr>
      <w:r>
        <w:t>Water Quality Biologist – Water District South</w:t>
      </w:r>
    </w:p>
    <w:p w:rsidR="00BC66BF" w:rsidRDefault="00BC66BF" w:rsidP="008F2107">
      <w:pPr>
        <w:jc w:val="center"/>
      </w:pPr>
    </w:p>
    <w:p w:rsidR="00BC66BF" w:rsidRDefault="00BC66BF" w:rsidP="008F2107">
      <w:pPr>
        <w:jc w:val="center"/>
      </w:pPr>
      <w:r>
        <w:t>D</w:t>
      </w:r>
      <w:r w:rsidR="003E6806">
        <w:t>ecember, 2016</w:t>
      </w:r>
    </w:p>
    <w:p w:rsidR="00BC66BF" w:rsidRDefault="00BC66BF">
      <w:r>
        <w:br w:type="page"/>
      </w:r>
    </w:p>
    <w:p w:rsidR="00BC66BF" w:rsidRDefault="00586591">
      <w:r>
        <w:rPr>
          <w:noProof/>
        </w:rPr>
        <w:lastRenderedPageBreak/>
        <mc:AlternateContent>
          <mc:Choice Requires="wps">
            <w:drawing>
              <wp:anchor distT="0" distB="0" distL="114300" distR="114300" simplePos="0" relativeHeight="251660288" behindDoc="0" locked="0" layoutInCell="1" allowOverlap="1">
                <wp:simplePos x="0" y="0"/>
                <wp:positionH relativeFrom="column">
                  <wp:posOffset>2494502</wp:posOffset>
                </wp:positionH>
                <wp:positionV relativeFrom="paragraph">
                  <wp:posOffset>1446963</wp:posOffset>
                </wp:positionV>
                <wp:extent cx="2180493" cy="271305"/>
                <wp:effectExtent l="0" t="0" r="10795" b="14605"/>
                <wp:wrapNone/>
                <wp:docPr id="18" name="Text Box 18"/>
                <wp:cNvGraphicFramePr/>
                <a:graphic xmlns:a="http://schemas.openxmlformats.org/drawingml/2006/main">
                  <a:graphicData uri="http://schemas.microsoft.com/office/word/2010/wordprocessingShape">
                    <wps:wsp>
                      <wps:cNvSpPr txBox="1"/>
                      <wps:spPr>
                        <a:xfrm>
                          <a:off x="0" y="0"/>
                          <a:ext cx="2180493" cy="2713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86591" w:rsidRDefault="00C67416">
                            <w:r>
                              <w:t>Major l</w:t>
                            </w:r>
                            <w:r w:rsidR="00586591">
                              <w:t>and use in the watershed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margin-left:196.4pt;margin-top:113.95pt;width:171.7pt;height:2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" fillcolor="white [3201]" strokeweight=".5pt">
                <v:textbox>
                  <w:txbxContent>
                    <w:p w:rsidR="00586591" w:rsidRDefault="00C67416">
                      <w:r>
                        <w:t>Major l</w:t>
                      </w:r>
                      <w:r w:rsidR="00586591">
                        <w:t>and use in the watershed</w:t>
                      </w:r>
                    </w:p>
                  </w:txbxContent>
                </v:textbox>
              </v:shape>
            </w:pict>
          </mc:Fallback>
        </mc:AlternateContent>
      </w:r>
      <w:r>
        <w:rPr>
          <w:noProof/>
        </w:rPr>
        <mc:AlternateContent>
          <mc:Choice Requires="wps">
            <w:drawing>
              <wp:anchor distT="91440" distB="91440" distL="114300" distR="114300" simplePos="0" relativeHeight="251659264" behindDoc="0" locked="0" layoutInCell="0" allowOverlap="1" wp14:anchorId="326510FF" wp14:editId="6A49D9E1">
                <wp:simplePos x="0" y="0"/>
                <wp:positionH relativeFrom="margin">
                  <wp:align>right</wp:align>
                </wp:positionH>
                <mc:AlternateContent>
                  <mc:Choice Requires="wp14">
                    <wp:positionV relativeFrom="margin">
                      <wp14:pctPosVOffset>16000</wp14:pctPosVOffset>
                    </wp:positionV>
                  </mc:Choice>
                  <mc:Fallback>
                    <wp:positionV relativeFrom="page">
                      <wp:posOffset>2230755</wp:posOffset>
                    </wp:positionV>
                  </mc:Fallback>
                </mc:AlternateContent>
                <wp:extent cx="3435985" cy="2260600"/>
                <wp:effectExtent l="38100" t="38100" r="107315" b="120650"/>
                <wp:wrapSquare wrapText="bothSides"/>
                <wp:docPr id="698"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436537" cy="2260600"/>
                        </a:xfrm>
                        <a:prstGeom prst="rect">
                          <a:avLst/>
                        </a:prstGeom>
                        <a:solidFill>
                          <a:schemeClr val="bg1"/>
                        </a:solidFill>
                        <a:ln w="19050">
                          <a:solidFill>
                            <a:schemeClr val="tx1">
                              <a:lumMod val="50000"/>
                              <a:lumOff val="50000"/>
                            </a:schemeClr>
                          </a:solidFill>
                          <a:miter lim="800000"/>
                          <a:headEnd/>
                          <a:tailEnd/>
                        </a:ln>
                        <a:effectLst>
                          <a:outerShdw blurRad="50800" dist="38100" dir="2700000" sx="100500" sy="100500" algn="tl" rotWithShape="0">
                            <a:prstClr val="black">
                              <a:alpha val="40000"/>
                            </a:prstClr>
                          </a:outerShdw>
                        </a:effectLst>
                      </wps:spPr>
                      <wps:txbx>
                        <w:txbxContent>
                          <w:p w:rsidR="00586591" w:rsidRDefault="00586591">
                            <w:pPr>
                              <w:rPr>
                                <w:color w:val="4F81BD" w:themeColor="accent1"/>
                                <w:sz w:val="20"/>
                                <w:szCs w:val="20"/>
                              </w:rPr>
                            </w:pPr>
                            <w:r w:rsidRPr="00586591">
                              <w:rPr>
                                <w:noProof/>
                              </w:rPr>
                              <w:drawing>
                                <wp:inline distT="0" distB="0" distL="0" distR="0" wp14:anchorId="5929E1CD" wp14:editId="36C84FC3">
                                  <wp:extent cx="3170832" cy="190531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81054" cy="1911453"/>
                                          </a:xfrm>
                                          <a:prstGeom prst="rect">
                                            <a:avLst/>
                                          </a:prstGeom>
                                          <a:noFill/>
                                          <a:ln>
                                            <a:noFill/>
                                          </a:ln>
                                        </pic:spPr>
                                      </pic:pic>
                                    </a:graphicData>
                                  </a:graphic>
                                </wp:inline>
                              </w:drawing>
                            </w:r>
                          </w:p>
                        </w:txbxContent>
                      </wps:txbx>
                      <wps:bodyPr rot="0" vert="horz" wrap="square" lIns="274320" tIns="274320" rIns="274320" bIns="274320" anchor="ctr" anchorCtr="0">
                        <a:noAutofit/>
                      </wps:bodyPr>
                    </wps:wsp>
                  </a:graphicData>
                </a:graphic>
                <wp14:sizeRelH relativeFrom="margin">
                  <wp14:pctWidth>0</wp14:pctWidth>
                </wp14:sizeRelH>
                <wp14:sizeRelV relativeFrom="page">
                  <wp14:pctHeight>0</wp14:pctHeight>
                </wp14:sizeRelV>
              </wp:anchor>
            </w:drawing>
          </mc:Choice>
          <mc:Fallback>
            <w:pict>
              <v:rect id="Rectangle 396" o:spid="_x0000_s1027" style="position:absolute;margin-left:219.35pt;margin-top:0;width:270.55pt;height:178pt;flip:x;z-index:251659264;visibility:visible;mso-wrap-style:square;mso-width-percent:0;mso-height-percent:0;mso-top-percent:160;mso-wrap-distance-left:9pt;mso-wrap-distance-top:7.2pt;mso-wrap-distance-right:9pt;mso-wrap-distance-bottom:7.2pt;mso-position-horizontal:right;mso-position-horizontal-relative:margin;mso-position-vertical-relative:margin;mso-width-percent:0;mso-height-percent:0;mso-top-percent:16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" o:allowincell="f" fillcolor="white [3212]" strokecolor="gray [1629]" strokeweight="1.5pt">
                <v:shadow on="t" type="perspective" color="black" opacity="26214f" origin="-.5,-.5" offset=".74836mm,.74836mm" matrix="65864f,,,65864f"/>
                <v:textbox inset="21.6pt,21.6pt,21.6pt,21.6pt">
                  <w:txbxContent>
                    <w:p w:rsidR="00586591" w:rsidRDefault="00586591">
                      <w:pPr>
                        <w:rPr>
                          <w:color w:val="4F81BD" w:themeColor="accent1"/>
                          <w:sz w:val="20"/>
                          <w:szCs w:val="20"/>
                        </w:rPr>
                      </w:pPr>
                      <w:r w:rsidRPr="00586591">
                        <w:rPr>
                          <w:noProof/>
                        </w:rPr>
                        <w:drawing>
                          <wp:inline distT="0" distB="0" distL="0" distR="0" wp14:anchorId="5929E1CD" wp14:editId="36C84FC3">
                            <wp:extent cx="3170832" cy="190531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81054" cy="1911453"/>
                                    </a:xfrm>
                                    <a:prstGeom prst="rect">
                                      <a:avLst/>
                                    </a:prstGeom>
                                    <a:noFill/>
                                    <a:ln>
                                      <a:noFill/>
                                    </a:ln>
                                  </pic:spPr>
                                </pic:pic>
                              </a:graphicData>
                            </a:graphic>
                          </wp:inline>
                        </w:drawing>
                      </w:r>
                    </w:p>
                  </w:txbxContent>
                </v:textbox>
                <w10:wrap type="square" anchorx="margin" anchory="margin"/>
              </v:rect>
            </w:pict>
          </mc:Fallback>
        </mc:AlternateContent>
      </w:r>
      <w:r w:rsidR="00BC66BF">
        <w:t>The Mineral Point and Sudan Branches Watershed lies in southwestern Iowa County and dips into extreme northern Lafayette County</w:t>
      </w:r>
      <w:r w:rsidR="009E6575">
        <w:t xml:space="preserve"> (Figure 1)</w:t>
      </w:r>
      <w:r w:rsidR="00BC66BF">
        <w:t>.  The</w:t>
      </w:r>
      <w:r w:rsidR="00B35669">
        <w:t xml:space="preserve"> majority of the </w:t>
      </w:r>
      <w:r w:rsidR="00BC66BF">
        <w:t>70,300 acre (110 mi</w:t>
      </w:r>
      <w:r w:rsidR="00BC66BF" w:rsidRPr="00BC66BF">
        <w:rPr>
          <w:vertAlign w:val="superscript"/>
        </w:rPr>
        <w:t>2</w:t>
      </w:r>
      <w:r w:rsidR="00BC66BF">
        <w:t>) watershed</w:t>
      </w:r>
      <w:r w:rsidR="00B35669">
        <w:t xml:space="preserve"> is in agriculture (row crops or pastureland), with scattered woodlands and grasslands making up a majority of the balance</w:t>
      </w:r>
      <w:r>
        <w:t xml:space="preserve"> (See graphic below)</w:t>
      </w:r>
      <w:r w:rsidR="00B35669">
        <w:t>.</w:t>
      </w:r>
      <w:r>
        <w:t xml:space="preserve">  </w:t>
      </w:r>
      <w:r w:rsidR="00B35669">
        <w:t xml:space="preserve">As the name of the watershed implies, Mineral Point Branch and Sudan Branch are the two main streams that drain this area.  Mineral Point Branch has its headwaters along the Military Ridge just west of Dodgeville and flows </w:t>
      </w:r>
      <w:r w:rsidR="00D944BD">
        <w:t>29</w:t>
      </w:r>
      <w:r w:rsidR="00B35669">
        <w:t xml:space="preserve"> miles southward into Lafayette County where it joins the Pecatonica River </w:t>
      </w:r>
      <w:r w:rsidR="009A1A04">
        <w:t>a couple of miles northwest of Calamine.  The Sudan Branch likewise has its headwaters along the Military Ridge just east of Cobb, near the village of Linden.  It flow</w:t>
      </w:r>
      <w:r w:rsidR="00251D67">
        <w:t>s</w:t>
      </w:r>
      <w:r w:rsidR="009A1A04">
        <w:t xml:space="preserve"> </w:t>
      </w:r>
      <w:r w:rsidR="00D944BD">
        <w:t>18</w:t>
      </w:r>
      <w:r w:rsidR="009A1A04">
        <w:t xml:space="preserve"> miles southeast and joins the Mineral Point Branch about 3 miles southwest of the village of Mineral Point</w:t>
      </w:r>
      <w:r w:rsidR="00251D67">
        <w:t xml:space="preserve"> (WDNR, 2003)</w:t>
      </w:r>
      <w:r w:rsidR="009A1A04">
        <w:t>.</w:t>
      </w:r>
      <w:r w:rsidR="00B35669">
        <w:t xml:space="preserve"> </w:t>
      </w:r>
    </w:p>
    <w:p w:rsidR="009A1A04" w:rsidRDefault="009A1A04"/>
    <w:p w:rsidR="00D95C4D" w:rsidRDefault="00D95C4D">
      <w:r>
        <w:t xml:space="preserve">The upper </w:t>
      </w:r>
      <w:r w:rsidR="00945A0A">
        <w:t>3</w:t>
      </w:r>
      <w:r>
        <w:t xml:space="preserve"> miles of Sudan Branch, upstream of CTH X is considered Class II trout water</w:t>
      </w:r>
      <w:r w:rsidR="003E6806">
        <w:t>,</w:t>
      </w:r>
      <w:r w:rsidR="00945A0A">
        <w:t xml:space="preserve"> as is the entire length of Rock Branch</w:t>
      </w:r>
      <w:r>
        <w:t xml:space="preserve">.  </w:t>
      </w:r>
      <w:r w:rsidR="00945A0A">
        <w:t xml:space="preserve">Portions of Sudan Branch, Pedler Creek and Mineral Point Branch are considered </w:t>
      </w:r>
      <w:r w:rsidR="00945A0A" w:rsidRPr="002914CD">
        <w:t>managed smallmouth bass waters</w:t>
      </w:r>
      <w:r w:rsidR="00945A0A">
        <w:t xml:space="preserve">.  Mineral Point Branch is on the state’s 303(d) list of impaired waters because it exceeds the state’s phosphorus criteria and </w:t>
      </w:r>
      <w:r>
        <w:t>Brewery Creek</w:t>
      </w:r>
      <w:r w:rsidR="00945A0A">
        <w:t xml:space="preserve"> is on the impaired waters list due to aquatic toxicity caused by heavy metals which exceed the acute criteria</w:t>
      </w:r>
      <w:r w:rsidR="00251D67">
        <w:t xml:space="preserve"> (Ibid)</w:t>
      </w:r>
      <w:r w:rsidR="00945A0A">
        <w:t>.</w:t>
      </w:r>
    </w:p>
    <w:p w:rsidR="00D95C4D" w:rsidRDefault="00D95C4D"/>
    <w:p w:rsidR="009A1A04" w:rsidRDefault="009A1A04">
      <w:r>
        <w:t>Ludden Lake is a 5</w:t>
      </w:r>
      <w:r w:rsidR="008714E1">
        <w:t>0</w:t>
      </w:r>
      <w:r>
        <w:t xml:space="preserve"> acre impoundment that was </w:t>
      </w:r>
      <w:r w:rsidR="00EF6242">
        <w:t>c</w:t>
      </w:r>
      <w:r>
        <w:t>reated in 1963 by constructing a dam on the Mineral Point Branch northeast of the village of Mineral Point.  The lake is managed</w:t>
      </w:r>
      <w:r w:rsidR="003E6806">
        <w:t xml:space="preserve"> for</w:t>
      </w:r>
      <w:r w:rsidR="00C67416">
        <w:t xml:space="preserve"> walleye</w:t>
      </w:r>
      <w:r w:rsidR="003E6806">
        <w:t>, but also contains</w:t>
      </w:r>
      <w:r w:rsidR="00C67416">
        <w:t xml:space="preserve"> bass, and panfish.  Runoff from the agricultural landscapes upstream creates a serious eutrophication problem for this lake. </w:t>
      </w:r>
    </w:p>
    <w:p w:rsidR="00A22A1A" w:rsidRDefault="00A22A1A"/>
    <w:p w:rsidR="00A22A1A" w:rsidRDefault="00A22A1A" w:rsidP="00A22A1A">
      <w:r>
        <w:t>In addition to the wastewater discharges from Linden and Mineral Point, Bloomfield Manor, an assisted living facility also discharges to surface water in the watershed.  The major water quality problems in the watershed are from agricultural non-point source pollution.  There are also localized water quality issues caused by historic mining activity.  Runoff from waste piles that remain from lead, copper and zinc mining have caused aquatic toxicity issues on Brewery Creek near Mineral Point and on Pedler Creek near Linden (Ibid).</w:t>
      </w:r>
    </w:p>
    <w:p w:rsidR="00917BEA" w:rsidRDefault="00917BEA" w:rsidP="00A22A1A">
      <w:pPr>
        <w:rPr>
          <w:i/>
        </w:rPr>
      </w:pPr>
    </w:p>
    <w:p w:rsidR="00917BEA" w:rsidRDefault="00917BEA" w:rsidP="00A22A1A">
      <w:pPr>
        <w:rPr>
          <w:i/>
        </w:rPr>
      </w:pPr>
    </w:p>
    <w:p w:rsidR="00917BEA" w:rsidRDefault="00917BEA" w:rsidP="00A22A1A">
      <w:pPr>
        <w:rPr>
          <w:i/>
        </w:rPr>
      </w:pPr>
    </w:p>
    <w:p w:rsidR="00A22A1A" w:rsidRPr="00790056" w:rsidRDefault="00A22A1A" w:rsidP="00A22A1A">
      <w:pPr>
        <w:rPr>
          <w:i/>
        </w:rPr>
      </w:pPr>
      <w:r w:rsidRPr="00790056">
        <w:rPr>
          <w:i/>
        </w:rPr>
        <w:lastRenderedPageBreak/>
        <w:t>Methods</w:t>
      </w:r>
    </w:p>
    <w:p w:rsidR="00A22A1A" w:rsidRDefault="00A22A1A" w:rsidP="00A22A1A">
      <w:r>
        <w:t>The 2015 watershed survey was conducted by water resources biologists on 37 sites in the watershed</w:t>
      </w:r>
      <w:r w:rsidR="00C67416">
        <w:t xml:space="preserve"> (Figure 1)</w:t>
      </w:r>
      <w:r>
        <w:t xml:space="preserve">.  Sites were selected to cover named streams and selected </w:t>
      </w:r>
    </w:p>
    <w:p w:rsidR="00C67416" w:rsidRDefault="00A22A1A" w:rsidP="00C67416">
      <w:r w:rsidRPr="00A22A1A">
        <w:object w:dxaOrig="11881" w:dyaOrig="9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25pt;height:371.1pt" o:ole="">
            <v:imagedata r:id="rId11" o:title=""/>
          </v:shape>
          <o:OLEObject Type="Embed" ProgID="AcroExch.Document.11" ShapeID="_x0000_i1025" DrawAspect="Content" ObjectID="_1545038941" r:id="rId12"/>
        </w:object>
      </w:r>
      <w:proofErr w:type="gramStart"/>
      <w:r w:rsidR="003E6806">
        <w:t>unnamed</w:t>
      </w:r>
      <w:proofErr w:type="gramEnd"/>
      <w:r w:rsidR="00C67416" w:rsidRPr="00C67416">
        <w:t xml:space="preserve"> </w:t>
      </w:r>
      <w:r w:rsidR="00C67416">
        <w:t>tributaries in the HUC 10.  The fisheries assemblage was determined by electroshocking a section of stream with a minimum station length of 35 times the mean stream width (Lyons, 1992).  A stream tow barge with a generator and two probes was used at most sites. A backpack shocker with a single probe was used at sites generally less than 2 meters wide. All fish were collected, identified, and counted. All gamefish were measured for length. At each site, qualitative notes on average stream width and depth, riparian buffers and land use, evidence of sedimentation, fish cover and potential management options were also recorded. A qualitative habitat survey (Simonson, et. al.,</w:t>
      </w:r>
      <w:r w:rsidR="00C67416" w:rsidRPr="00A22A1A">
        <w:t xml:space="preserve"> </w:t>
      </w:r>
      <w:r w:rsidR="00C67416">
        <w:t xml:space="preserve">1994) was also performed at each site. Macroinvertebrate samples were obtained by kick sampling and collecting using a D-frame net at these same sites in the watershed in fall, 2015 and sent to the University of Wisconsin-Stevens Point for analysis. </w:t>
      </w:r>
    </w:p>
    <w:p w:rsidR="00C67416" w:rsidRDefault="00C67416" w:rsidP="00DA5FE6"/>
    <w:p w:rsidR="00DA5FE6" w:rsidRDefault="00DA5FE6" w:rsidP="00DA5FE6">
      <w:r>
        <w:t xml:space="preserve">Additionally, water samples were collected once per month throughout the growing season (May through October) </w:t>
      </w:r>
      <w:r w:rsidR="00790056">
        <w:t>at two sites on Mineral Point Branch – upstream and downstream of the confluence of Sudan Branch.</w:t>
      </w:r>
      <w:r>
        <w:t xml:space="preserve"> These samples were analyzed for total phosphorus.</w:t>
      </w:r>
      <w:r w:rsidR="00790056">
        <w:t xml:space="preserve">  Diatom samples were also collected at these same sites to be analyzed for calculation of a diatom nutrient index (DNI).  </w:t>
      </w:r>
    </w:p>
    <w:p w:rsidR="00790056" w:rsidRDefault="00790056" w:rsidP="00DA5FE6"/>
    <w:p w:rsidR="00790056" w:rsidRDefault="00790056" w:rsidP="00DA5FE6">
      <w:r>
        <w:t xml:space="preserve">Bioassays were run on water samples collected from three sites on Brewery Creek to look at toxicity to aquatic organisms from heavy metals caused by leaching of mine waste.  </w:t>
      </w:r>
    </w:p>
    <w:p w:rsidR="00DA5FE6" w:rsidRDefault="00DA5FE6" w:rsidP="00DA5FE6"/>
    <w:p w:rsidR="00DA5FE6" w:rsidRDefault="00DA5FE6" w:rsidP="00DA5FE6">
      <w:r>
        <w:t xml:space="preserve">Continuous water temperature loggers were also placed at sites on </w:t>
      </w:r>
      <w:r w:rsidR="00790056">
        <w:t xml:space="preserve">Brewery Creek, Laxey Creek, Mineral Point Branch, Pedler Creek, Rock Branch, Sudan Branch and several unnamed streams </w:t>
      </w:r>
      <w:r>
        <w:t>and programmed to take hourly water temperatures throughout the “summer” (June – August) period.</w:t>
      </w:r>
    </w:p>
    <w:p w:rsidR="00790056" w:rsidRDefault="00790056" w:rsidP="00DA5FE6"/>
    <w:p w:rsidR="00790056" w:rsidRPr="00790056" w:rsidRDefault="00790056" w:rsidP="00DA5FE6">
      <w:pPr>
        <w:rPr>
          <w:i/>
        </w:rPr>
      </w:pPr>
      <w:r w:rsidRPr="00790056">
        <w:rPr>
          <w:i/>
        </w:rPr>
        <w:t>Results</w:t>
      </w:r>
    </w:p>
    <w:p w:rsidR="00790056" w:rsidRDefault="00790056" w:rsidP="00DA5FE6">
      <w:r>
        <w:t xml:space="preserve">The results of the fisheries surveys are summarized in Table 1.  Because the natural communities model (Lyons, 2008) predicted most of the waters in the watershed to be cool transitional waters, the coolwater index of biotic integrity (IBI) developed by Lyons (2012) was applied to all streams.  Where appropriate and based on natural community verification (Lyons, 2013), additional IBIs were applied.  </w:t>
      </w:r>
    </w:p>
    <w:p w:rsidR="00790056" w:rsidRDefault="00790056" w:rsidP="00DA5FE6"/>
    <w:p w:rsidR="00790056" w:rsidRDefault="00790056" w:rsidP="00DA5FE6">
      <w:r>
        <w:t xml:space="preserve">A total of 47 species were found in the watershed.  White sucker, creek chub, brook stickleback, </w:t>
      </w:r>
      <w:r w:rsidR="00D944BD">
        <w:t xml:space="preserve">and </w:t>
      </w:r>
      <w:r>
        <w:t xml:space="preserve">johnny darters were quite prevalent throughout the watershed, with central stoneroller, common shiner, hornyhead chub, fantail darter, and southern redbelly dace also being widely distributed.  Most species found were either coolwater transitional or warmwater species (Lyons, 2012).  A total of </w:t>
      </w:r>
      <w:r w:rsidR="00D95C4D">
        <w:t>8 intolerant species were found as well as 3 stenothermal coldwater species.</w:t>
      </w:r>
    </w:p>
    <w:p w:rsidR="00790056" w:rsidRDefault="00790056" w:rsidP="00DA5FE6"/>
    <w:p w:rsidR="001A6108" w:rsidRDefault="001A6108" w:rsidP="00DA5FE6">
      <w:r>
        <w:t xml:space="preserve">Qualitative habitat surveys (Table 2) showed overall habitat to be </w:t>
      </w:r>
      <w:r w:rsidR="00C1126C">
        <w:t>“</w:t>
      </w:r>
      <w:r>
        <w:t>fair</w:t>
      </w:r>
      <w:r w:rsidR="00C1126C">
        <w:t>”</w:t>
      </w:r>
      <w:r>
        <w:t xml:space="preserve"> to </w:t>
      </w:r>
      <w:r w:rsidR="00C1126C">
        <w:t>“</w:t>
      </w:r>
      <w:r>
        <w:t>good</w:t>
      </w:r>
      <w:r w:rsidR="00C1126C">
        <w:t>”</w:t>
      </w:r>
      <w:r>
        <w:t xml:space="preserve"> at all sites.</w:t>
      </w:r>
      <w:r w:rsidR="008530DB">
        <w:t xml:space="preserve"> Riparian buffer scores varied widely, with 40% of sites having no buffer, primarily due to pasturing in the corridor.  Bank erosion also varied widely with about half the sites having a </w:t>
      </w:r>
      <w:r w:rsidR="00C1126C">
        <w:t>“</w:t>
      </w:r>
      <w:r w:rsidR="008530DB">
        <w:t>poor</w:t>
      </w:r>
      <w:r w:rsidR="00C1126C">
        <w:t>”</w:t>
      </w:r>
      <w:r w:rsidR="008530DB">
        <w:t xml:space="preserve"> or </w:t>
      </w:r>
      <w:r w:rsidR="00C1126C">
        <w:t>“</w:t>
      </w:r>
      <w:r w:rsidR="008530DB">
        <w:t>fair</w:t>
      </w:r>
      <w:r w:rsidR="00C1126C">
        <w:t>”</w:t>
      </w:r>
      <w:r w:rsidR="008530DB">
        <w:t xml:space="preserve"> bank erosion score, and the other half having </w:t>
      </w:r>
      <w:r w:rsidR="00C1126C">
        <w:t>“</w:t>
      </w:r>
      <w:r w:rsidR="008530DB">
        <w:t>good</w:t>
      </w:r>
      <w:r w:rsidR="00C1126C">
        <w:t>”</w:t>
      </w:r>
      <w:r w:rsidR="008530DB">
        <w:t xml:space="preserve"> to </w:t>
      </w:r>
      <w:r w:rsidR="00C1126C">
        <w:t>“</w:t>
      </w:r>
      <w:r w:rsidR="008530DB">
        <w:t>excellent</w:t>
      </w:r>
      <w:r w:rsidR="00C1126C">
        <w:t>”</w:t>
      </w:r>
      <w:r w:rsidR="008530DB">
        <w:t>.  Streams with significant pool areas were scarce throughout the watershed.</w:t>
      </w:r>
      <w:r w:rsidR="00C1126C">
        <w:t xml:space="preserve">  Of the named streams in the watershed, Brewery Creek and Mineral Point Branch had the lowest width-to-depth ratios with a majority of their sites being “fair”.  Riffle or bend scores were predominantly “good” throughout the watershed, as were fine sediment scores.  Three-quarters of the sites surveyed had “good” to “excellent” fish habitat.</w:t>
      </w:r>
    </w:p>
    <w:p w:rsidR="008530DB" w:rsidRDefault="008530DB"/>
    <w:p w:rsidR="00EE296B" w:rsidRDefault="00C1126C">
      <w:r>
        <w:t xml:space="preserve">Total phosphorus data collected </w:t>
      </w:r>
      <w:r w:rsidR="007C57D5">
        <w:t xml:space="preserve">during the growing season </w:t>
      </w:r>
      <w:r>
        <w:t xml:space="preserve">in 2015 at North Oak Road and a CTH O is summarized in Table 3. </w:t>
      </w:r>
      <w:r w:rsidR="00EE296B">
        <w:t xml:space="preserve"> The average and median phosphorus concentration was approximately 0.11 mg/l at both sites and thus was not significantly different. All concentrations except for the October sample taken at CTH O were at or above the state’s water quality criteria of 0.075 mg/l</w:t>
      </w:r>
      <w:r w:rsidR="00D944BD">
        <w:t xml:space="preserve"> (WDNR, 2013) </w:t>
      </w:r>
      <w:r w:rsidR="00EE296B">
        <w:t>for total phosphorus. It was noted by biologists that the data collected at North Oak Park Road may have been influenced by cattle activity immediately upstream of the sample site</w:t>
      </w:r>
      <w:r w:rsidR="00EE296B" w:rsidRPr="00EE296B">
        <w:t xml:space="preserve"> </w:t>
      </w:r>
      <w:r w:rsidR="00EE296B">
        <w:t>on any particular sampling day.</w:t>
      </w:r>
      <w:r>
        <w:t xml:space="preserve"> </w:t>
      </w:r>
    </w:p>
    <w:p w:rsidR="00917BEA" w:rsidRDefault="00917BEA"/>
    <w:p w:rsidR="00C22983" w:rsidRDefault="00C22983">
      <w:pPr>
        <w:sectPr w:rsidR="00C22983">
          <w:pgSz w:w="12240" w:h="15840"/>
          <w:pgMar w:top="1440" w:right="1800" w:bottom="1440" w:left="1800" w:header="720" w:footer="720" w:gutter="0"/>
          <w:cols w:space="720"/>
          <w:docGrid w:linePitch="360"/>
        </w:sectPr>
      </w:pPr>
    </w:p>
    <w:p w:rsidR="00C22983" w:rsidRDefault="00C22983" w:rsidP="000154F7">
      <w:pPr>
        <w:ind w:left="-7470"/>
      </w:pPr>
      <w:r w:rsidRPr="00F758CC">
        <w:rPr>
          <w:b/>
        </w:rPr>
        <w:lastRenderedPageBreak/>
        <w:t>Table 1</w:t>
      </w:r>
      <w:r>
        <w:t xml:space="preserve">:  Fisheries </w:t>
      </w:r>
      <w:r w:rsidR="00F758CC">
        <w:t>Assemblage, IBI, and Natural Community Analysis for sites in the Mineral Point and Sudan Branches Watershed - 2015</w:t>
      </w:r>
    </w:p>
    <w:p w:rsidR="00C22983" w:rsidRDefault="00C22983" w:rsidP="000154F7">
      <w:pPr>
        <w:ind w:left="-7470"/>
      </w:pPr>
      <w:r w:rsidRPr="00C22983">
        <w:rPr>
          <w:noProof/>
        </w:rPr>
        <w:drawing>
          <wp:inline distT="0" distB="0" distL="0" distR="0" wp14:anchorId="6D9A652B" wp14:editId="572814E3">
            <wp:extent cx="14181418" cy="6209881"/>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177634" cy="6208224"/>
                    </a:xfrm>
                    <a:prstGeom prst="rect">
                      <a:avLst/>
                    </a:prstGeom>
                    <a:noFill/>
                    <a:ln>
                      <a:noFill/>
                    </a:ln>
                  </pic:spPr>
                </pic:pic>
              </a:graphicData>
            </a:graphic>
          </wp:inline>
        </w:drawing>
      </w:r>
      <w:r>
        <w:br w:type="page"/>
      </w:r>
    </w:p>
    <w:p w:rsidR="00C22983" w:rsidRDefault="00C22983" w:rsidP="00C22983">
      <w:pPr>
        <w:ind w:left="-7200"/>
      </w:pPr>
      <w:r w:rsidRPr="00F758CC">
        <w:rPr>
          <w:b/>
        </w:rPr>
        <w:lastRenderedPageBreak/>
        <w:t xml:space="preserve">Table </w:t>
      </w:r>
      <w:r w:rsidR="00F758CC">
        <w:rPr>
          <w:b/>
        </w:rPr>
        <w:t>2</w:t>
      </w:r>
      <w:r w:rsidR="00F758CC">
        <w:t>: Qualitative Habitat Surveys of sites in the Mineral Point and Sudan Branches Watershed</w:t>
      </w:r>
    </w:p>
    <w:p w:rsidR="00C22983" w:rsidRDefault="00C22983" w:rsidP="00C22983">
      <w:pPr>
        <w:ind w:left="-7200"/>
        <w:sectPr w:rsidR="00C22983" w:rsidSect="00C22983">
          <w:pgSz w:w="24480" w:h="15840" w:orient="landscape" w:code="7"/>
          <w:pgMar w:top="2045" w:right="1800" w:bottom="2045" w:left="8885" w:header="720" w:footer="720" w:gutter="0"/>
          <w:cols w:space="720"/>
          <w:docGrid w:linePitch="360"/>
        </w:sectPr>
      </w:pPr>
      <w:r w:rsidRPr="00C22983">
        <w:rPr>
          <w:noProof/>
        </w:rPr>
        <w:drawing>
          <wp:inline distT="0" distB="0" distL="0" distR="0" wp14:anchorId="230E8CFE" wp14:editId="0043A97E">
            <wp:extent cx="9324871" cy="726287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324871" cy="7262874"/>
                    </a:xfrm>
                    <a:prstGeom prst="rect">
                      <a:avLst/>
                    </a:prstGeom>
                    <a:noFill/>
                    <a:ln>
                      <a:noFill/>
                    </a:ln>
                  </pic:spPr>
                </pic:pic>
              </a:graphicData>
            </a:graphic>
          </wp:inline>
        </w:drawing>
      </w:r>
    </w:p>
    <w:p w:rsidR="009147E7" w:rsidRDefault="009147E7">
      <w:r w:rsidRPr="009147E7">
        <w:rPr>
          <w:b/>
        </w:rPr>
        <w:lastRenderedPageBreak/>
        <w:t>Table 3</w:t>
      </w:r>
      <w:r>
        <w:t>: Total Phosphorus Concentration Mineral Point Branch</w:t>
      </w:r>
    </w:p>
    <w:tbl>
      <w:tblPr>
        <w:tblStyle w:val="TableGrid"/>
        <w:tblW w:w="0" w:type="auto"/>
        <w:tblLook w:val="04A0" w:firstRow="1" w:lastRow="0" w:firstColumn="1" w:lastColumn="0" w:noHBand="0" w:noVBand="1"/>
      </w:tblPr>
      <w:tblGrid>
        <w:gridCol w:w="2088"/>
        <w:gridCol w:w="2430"/>
        <w:gridCol w:w="1710"/>
      </w:tblGrid>
      <w:tr w:rsidR="00EE296B" w:rsidTr="007C57D5">
        <w:tc>
          <w:tcPr>
            <w:tcW w:w="2088" w:type="dxa"/>
          </w:tcPr>
          <w:p w:rsidR="009147E7" w:rsidRPr="007C57D5" w:rsidRDefault="009147E7" w:rsidP="009147E7">
            <w:pPr>
              <w:jc w:val="center"/>
              <w:rPr>
                <w:b/>
              </w:rPr>
            </w:pPr>
          </w:p>
          <w:p w:rsidR="00EE296B" w:rsidRPr="007C57D5" w:rsidRDefault="00EE296B" w:rsidP="009147E7">
            <w:pPr>
              <w:jc w:val="center"/>
              <w:rPr>
                <w:b/>
              </w:rPr>
            </w:pPr>
            <w:r w:rsidRPr="007C57D5">
              <w:rPr>
                <w:b/>
              </w:rPr>
              <w:t>Date Collected</w:t>
            </w:r>
          </w:p>
        </w:tc>
        <w:tc>
          <w:tcPr>
            <w:tcW w:w="2430" w:type="dxa"/>
          </w:tcPr>
          <w:p w:rsidR="009147E7" w:rsidRPr="007C57D5" w:rsidRDefault="009147E7" w:rsidP="009147E7">
            <w:pPr>
              <w:jc w:val="center"/>
              <w:rPr>
                <w:b/>
              </w:rPr>
            </w:pPr>
          </w:p>
          <w:p w:rsidR="00EE296B" w:rsidRPr="007C57D5" w:rsidRDefault="00EE296B" w:rsidP="009147E7">
            <w:pPr>
              <w:jc w:val="center"/>
              <w:rPr>
                <w:b/>
              </w:rPr>
            </w:pPr>
            <w:r w:rsidRPr="007C57D5">
              <w:rPr>
                <w:b/>
              </w:rPr>
              <w:t xml:space="preserve">North Oak Park </w:t>
            </w:r>
            <w:r w:rsidR="009147E7" w:rsidRPr="007C57D5">
              <w:rPr>
                <w:b/>
              </w:rPr>
              <w:t>Rd</w:t>
            </w:r>
            <w:r w:rsidR="007C57D5">
              <w:rPr>
                <w:b/>
              </w:rPr>
              <w:t>*</w:t>
            </w:r>
          </w:p>
        </w:tc>
        <w:tc>
          <w:tcPr>
            <w:tcW w:w="1710" w:type="dxa"/>
          </w:tcPr>
          <w:p w:rsidR="009147E7" w:rsidRPr="007C57D5" w:rsidRDefault="009147E7" w:rsidP="009147E7">
            <w:pPr>
              <w:jc w:val="center"/>
              <w:rPr>
                <w:b/>
              </w:rPr>
            </w:pPr>
          </w:p>
          <w:p w:rsidR="00EE296B" w:rsidRPr="007C57D5" w:rsidRDefault="00EE296B" w:rsidP="009147E7">
            <w:pPr>
              <w:jc w:val="center"/>
              <w:rPr>
                <w:b/>
              </w:rPr>
            </w:pPr>
            <w:r w:rsidRPr="007C57D5">
              <w:rPr>
                <w:b/>
              </w:rPr>
              <w:t>CTH O</w:t>
            </w:r>
          </w:p>
        </w:tc>
      </w:tr>
      <w:tr w:rsidR="00EE296B" w:rsidTr="007C57D5">
        <w:tc>
          <w:tcPr>
            <w:tcW w:w="2088" w:type="dxa"/>
          </w:tcPr>
          <w:p w:rsidR="00EE296B" w:rsidRDefault="00EE296B" w:rsidP="009147E7">
            <w:pPr>
              <w:jc w:val="center"/>
            </w:pPr>
            <w:r>
              <w:t>05/19/2015</w:t>
            </w:r>
          </w:p>
        </w:tc>
        <w:tc>
          <w:tcPr>
            <w:tcW w:w="2430" w:type="dxa"/>
          </w:tcPr>
          <w:p w:rsidR="00EE296B" w:rsidRDefault="00EE296B" w:rsidP="009147E7">
            <w:pPr>
              <w:jc w:val="center"/>
            </w:pPr>
            <w:r>
              <w:t>0.078</w:t>
            </w:r>
          </w:p>
        </w:tc>
        <w:tc>
          <w:tcPr>
            <w:tcW w:w="1710" w:type="dxa"/>
          </w:tcPr>
          <w:p w:rsidR="00EE296B" w:rsidRDefault="00EE296B" w:rsidP="009147E7">
            <w:pPr>
              <w:jc w:val="center"/>
            </w:pPr>
            <w:r>
              <w:t>0.102</w:t>
            </w:r>
          </w:p>
        </w:tc>
      </w:tr>
      <w:tr w:rsidR="00EE296B" w:rsidTr="007C57D5">
        <w:tc>
          <w:tcPr>
            <w:tcW w:w="2088" w:type="dxa"/>
          </w:tcPr>
          <w:p w:rsidR="00EE296B" w:rsidRDefault="00EE296B" w:rsidP="009147E7">
            <w:pPr>
              <w:jc w:val="center"/>
            </w:pPr>
            <w:r>
              <w:t>06/16/2015</w:t>
            </w:r>
          </w:p>
        </w:tc>
        <w:tc>
          <w:tcPr>
            <w:tcW w:w="2430" w:type="dxa"/>
          </w:tcPr>
          <w:p w:rsidR="00EE296B" w:rsidRDefault="00EE296B" w:rsidP="009147E7">
            <w:pPr>
              <w:jc w:val="center"/>
            </w:pPr>
            <w:r>
              <w:t>0.119</w:t>
            </w:r>
          </w:p>
        </w:tc>
        <w:tc>
          <w:tcPr>
            <w:tcW w:w="1710" w:type="dxa"/>
          </w:tcPr>
          <w:p w:rsidR="00EE296B" w:rsidRDefault="00EE296B" w:rsidP="009147E7">
            <w:pPr>
              <w:jc w:val="center"/>
            </w:pPr>
            <w:r>
              <w:t>0.18</w:t>
            </w:r>
          </w:p>
        </w:tc>
      </w:tr>
      <w:tr w:rsidR="00EE296B" w:rsidTr="007C57D5">
        <w:tc>
          <w:tcPr>
            <w:tcW w:w="2088" w:type="dxa"/>
          </w:tcPr>
          <w:p w:rsidR="00EE296B" w:rsidRDefault="00EE296B" w:rsidP="009147E7">
            <w:pPr>
              <w:jc w:val="center"/>
            </w:pPr>
            <w:r>
              <w:t>07/16/2015</w:t>
            </w:r>
          </w:p>
        </w:tc>
        <w:tc>
          <w:tcPr>
            <w:tcW w:w="2430" w:type="dxa"/>
          </w:tcPr>
          <w:p w:rsidR="00EE296B" w:rsidRDefault="00EE296B" w:rsidP="009147E7">
            <w:pPr>
              <w:jc w:val="center"/>
            </w:pPr>
            <w:r>
              <w:t>0.12</w:t>
            </w:r>
          </w:p>
        </w:tc>
        <w:tc>
          <w:tcPr>
            <w:tcW w:w="1710" w:type="dxa"/>
          </w:tcPr>
          <w:p w:rsidR="00EE296B" w:rsidRDefault="00EE296B" w:rsidP="009147E7">
            <w:pPr>
              <w:jc w:val="center"/>
            </w:pPr>
            <w:r>
              <w:t>0.137</w:t>
            </w:r>
          </w:p>
        </w:tc>
      </w:tr>
      <w:tr w:rsidR="00EE296B" w:rsidTr="007C57D5">
        <w:tc>
          <w:tcPr>
            <w:tcW w:w="2088" w:type="dxa"/>
          </w:tcPr>
          <w:p w:rsidR="00EE296B" w:rsidRDefault="00EE296B" w:rsidP="009147E7">
            <w:pPr>
              <w:jc w:val="center"/>
            </w:pPr>
            <w:r>
              <w:t>08/11/2015</w:t>
            </w:r>
          </w:p>
        </w:tc>
        <w:tc>
          <w:tcPr>
            <w:tcW w:w="2430" w:type="dxa"/>
          </w:tcPr>
          <w:p w:rsidR="00EE296B" w:rsidRDefault="00EE296B" w:rsidP="009147E7">
            <w:pPr>
              <w:jc w:val="center"/>
            </w:pPr>
            <w:r>
              <w:t>0.159</w:t>
            </w:r>
          </w:p>
        </w:tc>
        <w:tc>
          <w:tcPr>
            <w:tcW w:w="1710" w:type="dxa"/>
          </w:tcPr>
          <w:p w:rsidR="00EE296B" w:rsidRDefault="00EE296B" w:rsidP="009147E7">
            <w:pPr>
              <w:jc w:val="center"/>
            </w:pPr>
            <w:r>
              <w:t>0.119</w:t>
            </w:r>
          </w:p>
        </w:tc>
      </w:tr>
      <w:tr w:rsidR="00EE296B" w:rsidTr="007C57D5">
        <w:tc>
          <w:tcPr>
            <w:tcW w:w="2088" w:type="dxa"/>
          </w:tcPr>
          <w:p w:rsidR="00EE296B" w:rsidRDefault="00EE296B" w:rsidP="009147E7">
            <w:pPr>
              <w:jc w:val="center"/>
            </w:pPr>
            <w:r>
              <w:t>09/24/2015</w:t>
            </w:r>
          </w:p>
        </w:tc>
        <w:tc>
          <w:tcPr>
            <w:tcW w:w="2430" w:type="dxa"/>
          </w:tcPr>
          <w:p w:rsidR="00EE296B" w:rsidRDefault="00EE296B" w:rsidP="009147E7">
            <w:pPr>
              <w:jc w:val="center"/>
            </w:pPr>
            <w:r>
              <w:t>0.075</w:t>
            </w:r>
          </w:p>
        </w:tc>
        <w:tc>
          <w:tcPr>
            <w:tcW w:w="1710" w:type="dxa"/>
          </w:tcPr>
          <w:p w:rsidR="00EE296B" w:rsidRDefault="00EE296B" w:rsidP="009147E7">
            <w:pPr>
              <w:jc w:val="center"/>
            </w:pPr>
            <w:r>
              <w:t>0.075</w:t>
            </w:r>
          </w:p>
        </w:tc>
      </w:tr>
      <w:tr w:rsidR="00EE296B" w:rsidTr="00C906FF">
        <w:tc>
          <w:tcPr>
            <w:tcW w:w="2088" w:type="dxa"/>
            <w:tcBorders>
              <w:bottom w:val="double" w:sz="4" w:space="0" w:color="auto"/>
            </w:tcBorders>
          </w:tcPr>
          <w:p w:rsidR="00EE296B" w:rsidRDefault="00EE296B" w:rsidP="009147E7">
            <w:pPr>
              <w:jc w:val="center"/>
            </w:pPr>
            <w:r>
              <w:t>10/20/2015</w:t>
            </w:r>
          </w:p>
        </w:tc>
        <w:tc>
          <w:tcPr>
            <w:tcW w:w="2430" w:type="dxa"/>
            <w:tcBorders>
              <w:bottom w:val="double" w:sz="4" w:space="0" w:color="auto"/>
            </w:tcBorders>
          </w:tcPr>
          <w:p w:rsidR="00EE296B" w:rsidRDefault="00EE296B" w:rsidP="009147E7">
            <w:pPr>
              <w:jc w:val="center"/>
            </w:pPr>
            <w:r>
              <w:t>0.128</w:t>
            </w:r>
          </w:p>
        </w:tc>
        <w:tc>
          <w:tcPr>
            <w:tcW w:w="1710" w:type="dxa"/>
            <w:tcBorders>
              <w:bottom w:val="double" w:sz="4" w:space="0" w:color="auto"/>
            </w:tcBorders>
          </w:tcPr>
          <w:p w:rsidR="00EE296B" w:rsidRDefault="00EE296B" w:rsidP="009147E7">
            <w:pPr>
              <w:jc w:val="center"/>
            </w:pPr>
            <w:r>
              <w:t>0.055</w:t>
            </w:r>
          </w:p>
        </w:tc>
      </w:tr>
      <w:tr w:rsidR="00EE296B" w:rsidTr="00C906FF">
        <w:tc>
          <w:tcPr>
            <w:tcW w:w="2088" w:type="dxa"/>
            <w:tcBorders>
              <w:top w:val="double" w:sz="4" w:space="0" w:color="auto"/>
              <w:left w:val="single" w:sz="12" w:space="0" w:color="auto"/>
              <w:bottom w:val="single" w:sz="12" w:space="0" w:color="auto"/>
              <w:right w:val="single" w:sz="12" w:space="0" w:color="auto"/>
            </w:tcBorders>
          </w:tcPr>
          <w:p w:rsidR="00EE296B" w:rsidRDefault="009147E7" w:rsidP="009147E7">
            <w:pPr>
              <w:jc w:val="center"/>
            </w:pPr>
            <w:r>
              <w:t>Average:</w:t>
            </w:r>
          </w:p>
        </w:tc>
        <w:tc>
          <w:tcPr>
            <w:tcW w:w="2430" w:type="dxa"/>
            <w:tcBorders>
              <w:top w:val="double" w:sz="4" w:space="0" w:color="auto"/>
              <w:left w:val="single" w:sz="12" w:space="0" w:color="auto"/>
              <w:bottom w:val="single" w:sz="12" w:space="0" w:color="auto"/>
              <w:right w:val="single" w:sz="12" w:space="0" w:color="auto"/>
            </w:tcBorders>
          </w:tcPr>
          <w:p w:rsidR="00EE296B" w:rsidRDefault="009147E7" w:rsidP="009147E7">
            <w:pPr>
              <w:jc w:val="center"/>
            </w:pPr>
            <w:r>
              <w:t>0.113</w:t>
            </w:r>
          </w:p>
        </w:tc>
        <w:tc>
          <w:tcPr>
            <w:tcW w:w="1710" w:type="dxa"/>
            <w:tcBorders>
              <w:top w:val="double" w:sz="4" w:space="0" w:color="auto"/>
              <w:left w:val="single" w:sz="12" w:space="0" w:color="auto"/>
              <w:bottom w:val="single" w:sz="12" w:space="0" w:color="auto"/>
              <w:right w:val="single" w:sz="12" w:space="0" w:color="auto"/>
            </w:tcBorders>
          </w:tcPr>
          <w:p w:rsidR="00EE296B" w:rsidRDefault="009147E7" w:rsidP="009147E7">
            <w:pPr>
              <w:jc w:val="center"/>
            </w:pPr>
            <w:r>
              <w:t>0.113</w:t>
            </w:r>
          </w:p>
        </w:tc>
      </w:tr>
      <w:tr w:rsidR="00EE296B" w:rsidTr="007C57D5">
        <w:tc>
          <w:tcPr>
            <w:tcW w:w="2088" w:type="dxa"/>
            <w:tcBorders>
              <w:top w:val="single" w:sz="12" w:space="0" w:color="auto"/>
              <w:left w:val="single" w:sz="12" w:space="0" w:color="auto"/>
              <w:bottom w:val="single" w:sz="12" w:space="0" w:color="auto"/>
            </w:tcBorders>
          </w:tcPr>
          <w:p w:rsidR="00EE296B" w:rsidRDefault="009147E7" w:rsidP="009147E7">
            <w:pPr>
              <w:jc w:val="center"/>
            </w:pPr>
            <w:r>
              <w:t>Median:</w:t>
            </w:r>
          </w:p>
        </w:tc>
        <w:tc>
          <w:tcPr>
            <w:tcW w:w="2430" w:type="dxa"/>
            <w:tcBorders>
              <w:top w:val="single" w:sz="12" w:space="0" w:color="auto"/>
              <w:bottom w:val="single" w:sz="12" w:space="0" w:color="auto"/>
            </w:tcBorders>
          </w:tcPr>
          <w:p w:rsidR="00EE296B" w:rsidRDefault="009147E7" w:rsidP="009147E7">
            <w:pPr>
              <w:jc w:val="center"/>
            </w:pPr>
            <w:r>
              <w:t>0.120</w:t>
            </w:r>
          </w:p>
        </w:tc>
        <w:tc>
          <w:tcPr>
            <w:tcW w:w="1710" w:type="dxa"/>
            <w:tcBorders>
              <w:top w:val="single" w:sz="12" w:space="0" w:color="auto"/>
              <w:bottom w:val="single" w:sz="12" w:space="0" w:color="auto"/>
              <w:right w:val="single" w:sz="12" w:space="0" w:color="auto"/>
            </w:tcBorders>
          </w:tcPr>
          <w:p w:rsidR="00EE296B" w:rsidRDefault="009147E7" w:rsidP="009147E7">
            <w:pPr>
              <w:jc w:val="center"/>
            </w:pPr>
            <w:r>
              <w:t>0.110</w:t>
            </w:r>
          </w:p>
        </w:tc>
      </w:tr>
    </w:tbl>
    <w:p w:rsidR="009147E7" w:rsidRDefault="007C57D5" w:rsidP="007C57D5">
      <w:r>
        <w:t>*</w:t>
      </w:r>
      <w:r w:rsidRPr="007C57D5">
        <w:rPr>
          <w:sz w:val="18"/>
          <w:szCs w:val="18"/>
        </w:rPr>
        <w:t>May have been influenced by cattle activity upstream of sample site</w:t>
      </w:r>
    </w:p>
    <w:p w:rsidR="009147E7" w:rsidRDefault="009147E7" w:rsidP="009147E7"/>
    <w:p w:rsidR="00C22983" w:rsidRDefault="007C57D5" w:rsidP="00C22983">
      <w:r>
        <w:t>Temperature data, collected hourly from May to October at 13 sites showed temperature varied by stream and position in the watershed</w:t>
      </w:r>
      <w:r w:rsidR="00787DAB">
        <w:t xml:space="preserve"> (</w:t>
      </w:r>
      <w:r w:rsidR="00D944BD">
        <w:t>Table 4 and Appendix 1</w:t>
      </w:r>
      <w:r w:rsidR="00787DAB">
        <w:t>)</w:t>
      </w:r>
      <w:r>
        <w:t xml:space="preserve">.  </w:t>
      </w:r>
      <w:r w:rsidR="00A86B99">
        <w:t xml:space="preserve">The unnamed tributaries which generally represent </w:t>
      </w:r>
      <w:r w:rsidR="00787DAB">
        <w:t>1</w:t>
      </w:r>
      <w:r w:rsidR="00787DAB" w:rsidRPr="00787DAB">
        <w:rPr>
          <w:vertAlign w:val="superscript"/>
        </w:rPr>
        <w:t>st</w:t>
      </w:r>
      <w:r w:rsidR="00787DAB">
        <w:t xml:space="preserve"> through 3</w:t>
      </w:r>
      <w:r w:rsidR="00787DAB" w:rsidRPr="00787DAB">
        <w:rPr>
          <w:vertAlign w:val="superscript"/>
        </w:rPr>
        <w:t>rd</w:t>
      </w:r>
      <w:r w:rsidR="00787DAB">
        <w:t xml:space="preserve"> </w:t>
      </w:r>
      <w:r w:rsidR="00A86B99">
        <w:t xml:space="preserve">order streams generally had </w:t>
      </w:r>
      <w:r w:rsidR="00F74A6E">
        <w:t xml:space="preserve">peak </w:t>
      </w:r>
      <w:r w:rsidR="00A86B99">
        <w:t>daily mean temperatures less than 20.7</w:t>
      </w:r>
      <w:r w:rsidR="00A86B99" w:rsidRPr="00A86B99">
        <w:rPr>
          <w:vertAlign w:val="superscript"/>
        </w:rPr>
        <w:t>o</w:t>
      </w:r>
      <w:r w:rsidR="00A86B99">
        <w:t>C, which would d</w:t>
      </w:r>
      <w:r w:rsidR="00D944BD">
        <w:t>efine them as coldwater (Lyons, et. al., 2009).</w:t>
      </w:r>
      <w:r w:rsidR="00A86B99">
        <w:t xml:space="preserve">  Likewise, Brewery Creek and the </w:t>
      </w:r>
      <w:r w:rsidR="00C22983">
        <w:t>headwaters of Mineral Point Branch also had maximum mean temperatures below that same threshold.  Mineral Point Branch at CTH QQ, downstream of Ludden Lake, had the highest water temperatures with daily mean temperatures routinely in excess of 24.6</w:t>
      </w:r>
      <w:r w:rsidR="00C22983" w:rsidRPr="00A86B99">
        <w:rPr>
          <w:vertAlign w:val="superscript"/>
        </w:rPr>
        <w:t>o</w:t>
      </w:r>
      <w:r w:rsidR="00C22983">
        <w:t xml:space="preserve">C, or warm (Ibid).  Further downstream at North Oak Park Road and at CTH O, temperatures were more moderate, but still exceeded cool-warm to warm temperatures.  Other major systems such as Laxey Creek, Pedler Creek, Sudan Branch and Rock Branch have mean water temperatures that fall in the cool transitional range.  </w:t>
      </w:r>
    </w:p>
    <w:p w:rsidR="006B2197" w:rsidRDefault="006B2197" w:rsidP="00C22983"/>
    <w:p w:rsidR="006B2197" w:rsidRPr="00F758CC" w:rsidRDefault="006B2197" w:rsidP="00C22983">
      <w:pPr>
        <w:rPr>
          <w:sz w:val="20"/>
          <w:szCs w:val="20"/>
        </w:rPr>
      </w:pPr>
      <w:r w:rsidRPr="006B2197">
        <w:rPr>
          <w:b/>
        </w:rPr>
        <w:t>Table 4</w:t>
      </w:r>
      <w:r>
        <w:t xml:space="preserve">: </w:t>
      </w:r>
      <w:r w:rsidRPr="00F758CC">
        <w:rPr>
          <w:sz w:val="20"/>
          <w:szCs w:val="20"/>
        </w:rPr>
        <w:t>Comparison of Temperature Data, Modelled Community and Verified Community</w:t>
      </w:r>
    </w:p>
    <w:p w:rsidR="00C22983" w:rsidRDefault="006B2197" w:rsidP="00C22983">
      <w:r>
        <w:rPr>
          <w:noProof/>
        </w:rPr>
        <w:drawing>
          <wp:inline distT="0" distB="0" distL="0" distR="0" wp14:anchorId="30C32AC4">
            <wp:extent cx="5012168" cy="316523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0242" cy="3170330"/>
                    </a:xfrm>
                    <a:prstGeom prst="rect">
                      <a:avLst/>
                    </a:prstGeom>
                    <a:noFill/>
                  </pic:spPr>
                </pic:pic>
              </a:graphicData>
            </a:graphic>
          </wp:inline>
        </w:drawing>
      </w:r>
    </w:p>
    <w:p w:rsidR="00D944BD" w:rsidRPr="006B2197" w:rsidRDefault="006B2197" w:rsidP="00C22983">
      <w:pPr>
        <w:rPr>
          <w:sz w:val="20"/>
          <w:szCs w:val="20"/>
        </w:rPr>
      </w:pPr>
      <w:r w:rsidRPr="006B2197">
        <w:rPr>
          <w:sz w:val="20"/>
          <w:szCs w:val="20"/>
        </w:rPr>
        <w:t>Temperature ranges from Lyons, et. al., 2009</w:t>
      </w:r>
    </w:p>
    <w:p w:rsidR="00251D67" w:rsidRDefault="00251D67" w:rsidP="008530DB"/>
    <w:p w:rsidR="006B2197" w:rsidRDefault="006B2197" w:rsidP="006B2197">
      <w:r>
        <w:t xml:space="preserve">Macroinvertebrates were collected at 28 sites in the watershed (Table 5).  The samples were analyzed and reported for the macroinvertebrate index of biotic </w:t>
      </w:r>
      <w:r>
        <w:lastRenderedPageBreak/>
        <w:t>integrity (MIBI) (Weigel, 2003) and the Hilsenhoff Biotic Index (HBI) (Hilsenhoff, 1987).  The vast majority of MIBI scores and rankings were “poor” to “fair”, with several tributaries in the “good” ranking.  By contrast, most of the HBI scores/rankings were in the “good” category indicating slight to some organic loading.</w:t>
      </w:r>
    </w:p>
    <w:p w:rsidR="00104171" w:rsidRDefault="00104171" w:rsidP="008530DB"/>
    <w:p w:rsidR="00104171" w:rsidRDefault="00104171" w:rsidP="008530DB"/>
    <w:p w:rsidR="00104171" w:rsidRPr="00F758CC" w:rsidRDefault="00104171" w:rsidP="00104171">
      <w:pPr>
        <w:rPr>
          <w:sz w:val="22"/>
          <w:szCs w:val="22"/>
        </w:rPr>
      </w:pPr>
      <w:r w:rsidRPr="00B1213A">
        <w:rPr>
          <w:b/>
        </w:rPr>
        <w:t xml:space="preserve">Table </w:t>
      </w:r>
      <w:r>
        <w:rPr>
          <w:b/>
        </w:rPr>
        <w:t>5</w:t>
      </w:r>
      <w:r>
        <w:t xml:space="preserve">: </w:t>
      </w:r>
      <w:r w:rsidRPr="00F758CC">
        <w:rPr>
          <w:sz w:val="22"/>
          <w:szCs w:val="22"/>
        </w:rPr>
        <w:t>Macroinvertebrate Data for the Mineral Point and Sudan Branches Watershed</w:t>
      </w:r>
    </w:p>
    <w:p w:rsidR="00104171" w:rsidRDefault="00EB1521" w:rsidP="008530DB">
      <w:r w:rsidRPr="00EB1521">
        <w:rPr>
          <w:noProof/>
        </w:rPr>
        <w:drawing>
          <wp:inline distT="0" distB="0" distL="0" distR="0" wp14:anchorId="1EC8C05B" wp14:editId="16882A65">
            <wp:extent cx="5486400" cy="6053804"/>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6053804"/>
                    </a:xfrm>
                    <a:prstGeom prst="rect">
                      <a:avLst/>
                    </a:prstGeom>
                    <a:noFill/>
                    <a:ln>
                      <a:noFill/>
                    </a:ln>
                  </pic:spPr>
                </pic:pic>
              </a:graphicData>
            </a:graphic>
          </wp:inline>
        </w:drawing>
      </w:r>
    </w:p>
    <w:p w:rsidR="00104171" w:rsidRDefault="00104171" w:rsidP="008530DB"/>
    <w:p w:rsidR="006B2197" w:rsidRDefault="006B2197" w:rsidP="008530DB">
      <w:pPr>
        <w:rPr>
          <w:i/>
        </w:rPr>
      </w:pPr>
    </w:p>
    <w:p w:rsidR="0092369F" w:rsidRPr="00E0661B" w:rsidRDefault="0092369F" w:rsidP="008530DB">
      <w:pPr>
        <w:rPr>
          <w:i/>
        </w:rPr>
      </w:pPr>
      <w:r w:rsidRPr="00E0661B">
        <w:rPr>
          <w:i/>
        </w:rPr>
        <w:t>Discussion</w:t>
      </w:r>
    </w:p>
    <w:p w:rsidR="008609F3" w:rsidRDefault="0092369F" w:rsidP="0092369F">
      <w:r>
        <w:t xml:space="preserve">Most of the streams in this HUC 10 are modelled to be cool-cold transitional headwaters or mainstems (Lyons, 2008).  The department has recently developed a draft method to determine whether or not the modeled natural community is accurate based on the fishery assemblage and climate conditions (Lyons, 2013). </w:t>
      </w:r>
      <w:r w:rsidR="008609F3">
        <w:t xml:space="preserve">  </w:t>
      </w:r>
      <w:r w:rsidR="003E6806">
        <w:t xml:space="preserve">As reflected </w:t>
      </w:r>
      <w:r w:rsidR="00BA4141">
        <w:lastRenderedPageBreak/>
        <w:t>in Table</w:t>
      </w:r>
      <w:r w:rsidR="003E6806">
        <w:t xml:space="preserve"> 4, actual water temperature, the modelled natural community, and the verified natural community did not match up </w:t>
      </w:r>
      <w:r w:rsidR="00BA4141">
        <w:t xml:space="preserve">that </w:t>
      </w:r>
      <w:r w:rsidR="003E6806">
        <w:t xml:space="preserve">well.  </w:t>
      </w:r>
      <w:r w:rsidR="008609F3">
        <w:t>Temperature data collected by thermistors deployed throughout the watershed showed that actual water temperatures accurately reflected the modelled natural community</w:t>
      </w:r>
      <w:r w:rsidR="003E6806">
        <w:t xml:space="preserve"> at</w:t>
      </w:r>
      <w:r w:rsidR="008609F3">
        <w:t xml:space="preserve"> about </w:t>
      </w:r>
      <w:r w:rsidR="00251D67">
        <w:t xml:space="preserve">30% </w:t>
      </w:r>
      <w:r w:rsidR="008609F3">
        <w:t>of the sites</w:t>
      </w:r>
      <w:r w:rsidR="003E6806">
        <w:t>.  The model</w:t>
      </w:r>
      <w:r w:rsidR="008609F3">
        <w:t xml:space="preserve"> overestimated water temperatures at about</w:t>
      </w:r>
      <w:r w:rsidR="00251D67">
        <w:t xml:space="preserve"> that same percentage</w:t>
      </w:r>
      <w:r w:rsidR="008609F3">
        <w:t xml:space="preserve"> of the sites – particularly in the smaller, groundwater fed headwater streams</w:t>
      </w:r>
      <w:r w:rsidR="003E6806">
        <w:t xml:space="preserve"> -</w:t>
      </w:r>
      <w:r w:rsidR="008609F3">
        <w:t xml:space="preserve"> and underestimated the temperatures in another </w:t>
      </w:r>
      <w:r w:rsidR="00251D67">
        <w:t>40%</w:t>
      </w:r>
      <w:r w:rsidR="008609F3">
        <w:t xml:space="preserve"> of sites, particularly on the mainstems of Mineral Point Branch and the lower portions of Laxey Creek and Sudan Branch.   </w:t>
      </w:r>
    </w:p>
    <w:p w:rsidR="003E6806" w:rsidRDefault="003E6806" w:rsidP="0092369F"/>
    <w:p w:rsidR="0092369F" w:rsidRDefault="003E6806" w:rsidP="0092369F">
      <w:r>
        <w:t>A</w:t>
      </w:r>
      <w:r w:rsidR="0092369F">
        <w:t xml:space="preserve">ctual water temperature data collected in the watershed shows summer temperatures to </w:t>
      </w:r>
      <w:r w:rsidR="00C74E3C">
        <w:t>vary based on stream and position in the watershed</w:t>
      </w:r>
      <w:r w:rsidR="0092369F">
        <w:t>.</w:t>
      </w:r>
      <w:r w:rsidR="00C74E3C">
        <w:t xml:space="preserve"> While many streams had water temperatures that were cold or cool transitional,</w:t>
      </w:r>
      <w:r w:rsidRPr="003E6806">
        <w:t xml:space="preserve"> </w:t>
      </w:r>
      <w:r>
        <w:t>in most cases, the thermal composition of species (cold, warm, or transitional) indicated these streams resemble cool-warm or warm systems</w:t>
      </w:r>
      <w:r w:rsidR="00D70AFB">
        <w:t xml:space="preserve"> (Ibid)</w:t>
      </w:r>
      <w:r>
        <w:t>.</w:t>
      </w:r>
      <w:r w:rsidRPr="00A148BA">
        <w:t xml:space="preserve"> </w:t>
      </w:r>
      <w:r>
        <w:t>There is a fair amount of diversity of nongame species in most of the streams and coldwater species are limited to certain streams or stretches of streams</w:t>
      </w:r>
      <w:r w:rsidR="00D70AFB">
        <w:t>.</w:t>
      </w:r>
      <w:r w:rsidR="0092369F" w:rsidRPr="003E6806">
        <w:rPr>
          <w:color w:val="FF0000"/>
        </w:rPr>
        <w:t xml:space="preserve">  </w:t>
      </w:r>
      <w:r w:rsidR="00D70AFB">
        <w:t xml:space="preserve">Environmental degradation can sometimes explain the discrepancy between the modelled and actual community where there is a lack of intolerant species and a dominance of tolerant ones (Ibid).  For most systems in this HUC 10, the percentage of tolerant fish fall within expected ranges for cool-cold transitional systems, and therefore a degraded community is not the principle reason for the discrepancy.  </w:t>
      </w:r>
      <w:r w:rsidR="0092369F">
        <w:t xml:space="preserve">The discrepancy between the temperature data and the fishery community can happen for several </w:t>
      </w:r>
      <w:r w:rsidR="00D70AFB">
        <w:t xml:space="preserve">other </w:t>
      </w:r>
      <w:r w:rsidR="0092369F">
        <w:t>reasons: either the year of the thermal measurement wasn’t representative of the long-term average, the modeled thermal values were inaccurate, or both (Lyons, personal communication).  In this case, air temperatures during the 20</w:t>
      </w:r>
      <w:r w:rsidR="00C74E3C">
        <w:t>15</w:t>
      </w:r>
      <w:r w:rsidR="0092369F">
        <w:t xml:space="preserve"> “summer” season over which the thermisters were deployed were not considered abnormal</w:t>
      </w:r>
      <w:r w:rsidR="00240DB1">
        <w:t xml:space="preserve"> as air temperatures were within the lower 10</w:t>
      </w:r>
      <w:r w:rsidR="00240DB1" w:rsidRPr="00240DB1">
        <w:rPr>
          <w:vertAlign w:val="superscript"/>
        </w:rPr>
        <w:t>th</w:t>
      </w:r>
      <w:r w:rsidR="00240DB1">
        <w:t xml:space="preserve"> and upper 90</w:t>
      </w:r>
      <w:r w:rsidR="00240DB1" w:rsidRPr="00240DB1">
        <w:rPr>
          <w:vertAlign w:val="superscript"/>
        </w:rPr>
        <w:t>th</w:t>
      </w:r>
      <w:r w:rsidR="00240DB1">
        <w:t xml:space="preserve"> percentile</w:t>
      </w:r>
      <w:r w:rsidR="00C74E3C">
        <w:t xml:space="preserve">.  </w:t>
      </w:r>
      <w:r w:rsidR="0092369F">
        <w:t>The fishery is a long-term gauge of conditions in the stream and is therefore most important for bioassessment.  That’s not to say measured water temperatures aren’t useful, but for natural community determination and IBI purposes, and in the absence of moderate to severe environmental perturbation, the fishery assemblage trumps water temperature data (</w:t>
      </w:r>
      <w:r w:rsidR="00E0661B">
        <w:t>Ibid</w:t>
      </w:r>
      <w:r w:rsidR="0092369F">
        <w:t>).</w:t>
      </w:r>
    </w:p>
    <w:p w:rsidR="00C74E3C" w:rsidRDefault="00C74E3C" w:rsidP="0092369F"/>
    <w:p w:rsidR="00D86CD7" w:rsidRDefault="00FB7DF8" w:rsidP="0092369F">
      <w:r>
        <w:t>Trout</w:t>
      </w:r>
      <w:r w:rsidR="00C74E3C">
        <w:t xml:space="preserve"> were limited to certain streams and stretches of streams where stocking has been occurring.  There were two notable exceptions to this where trout were found in the absence of stocking.  Brook trout were found on Laxey Creek at CTH B, although brook trout have not been stocking in the creek since 1999 (Bradd Sims, personal communication).  Brown trout were found in Brewery Creek even though the stream is not stocked.  Conversely, Sudan Branch and Rock Branch are considered trout waters, and are currently stocked with brown trout.  However, returns on trout were meager at best.</w:t>
      </w:r>
      <w:r w:rsidR="00761DA2">
        <w:t xml:space="preserve">  Mottled sculpin, a native stenothermal coldwater indicator species were found in low numbers in Pedler Creek and Rock Branch, and in more modest numbers in the upper section of Sudan Branch.</w:t>
      </w:r>
      <w:r w:rsidR="00CC52B1">
        <w:t xml:space="preserve">  Even with the presence of this species, most of the fish in these </w:t>
      </w:r>
      <w:r w:rsidR="00D86CD7">
        <w:t>three</w:t>
      </w:r>
      <w:r w:rsidR="00CC52B1">
        <w:t xml:space="preserve"> systems are cool transitional or warmwater species and the verified natural community is cool-warm.</w:t>
      </w:r>
      <w:r w:rsidR="00761DA2">
        <w:t xml:space="preserve">  </w:t>
      </w:r>
    </w:p>
    <w:p w:rsidR="00D86CD7" w:rsidRDefault="00D86CD7" w:rsidP="0092369F"/>
    <w:p w:rsidR="00761DA2" w:rsidRDefault="00D86CD7" w:rsidP="0092369F">
      <w:r>
        <w:t xml:space="preserve">Several unnamed tributaries and/or headwaters revealed the coldest temperatures of any streams in the watershed, yet did not contain any coldwater indicator species.  This is not surprising considering they drain to relatively warmer systems that would not offer a source of coldwater species recruitment.  </w:t>
      </w:r>
      <w:r w:rsidR="00761DA2">
        <w:t xml:space="preserve">For the most part, </w:t>
      </w:r>
      <w:r>
        <w:t xml:space="preserve">these </w:t>
      </w:r>
      <w:r w:rsidR="00761DA2">
        <w:lastRenderedPageBreak/>
        <w:t>headwaters streams</w:t>
      </w:r>
      <w:r>
        <w:t xml:space="preserve"> are</w:t>
      </w:r>
      <w:r w:rsidR="00761DA2">
        <w:t xml:space="preserve"> 1</w:t>
      </w:r>
      <w:r w:rsidR="00761DA2" w:rsidRPr="00761DA2">
        <w:rPr>
          <w:vertAlign w:val="superscript"/>
        </w:rPr>
        <w:t>st</w:t>
      </w:r>
      <w:r w:rsidR="00761DA2">
        <w:t xml:space="preserve"> through 3</w:t>
      </w:r>
      <w:r w:rsidR="00761DA2" w:rsidRPr="00761DA2">
        <w:rPr>
          <w:vertAlign w:val="superscript"/>
        </w:rPr>
        <w:t>rd</w:t>
      </w:r>
      <w:r w:rsidR="00761DA2">
        <w:t xml:space="preserve"> order streams</w:t>
      </w:r>
      <w:r>
        <w:t xml:space="preserve"> and</w:t>
      </w:r>
      <w:r w:rsidR="00761DA2">
        <w:t xml:space="preserve"> contained a subset of</w:t>
      </w:r>
      <w:r w:rsidR="00E0661B">
        <w:t xml:space="preserve"> fish from</w:t>
      </w:r>
      <w:r w:rsidR="00761DA2">
        <w:t xml:space="preserve"> the </w:t>
      </w:r>
      <w:r w:rsidR="00517D52">
        <w:t xml:space="preserve">larger systems to which they drained.  </w:t>
      </w:r>
      <w:r w:rsidR="00A03D77">
        <w:t xml:space="preserve">Water temperatures in these tributaries are generally in the “coldwater” thermal regime in that their mean temperatures remain below </w:t>
      </w:r>
      <w:r>
        <w:t xml:space="preserve">what is defined as cold in </w:t>
      </w:r>
      <w:r w:rsidR="00A03D77">
        <w:t>Lyons,</w:t>
      </w:r>
      <w:r>
        <w:t xml:space="preserve"> et. al. (2009)</w:t>
      </w:r>
      <w:r w:rsidR="00A03D77">
        <w:t xml:space="preserve">.  This is typical for these perennial spring-fed streams.  </w:t>
      </w:r>
      <w:r w:rsidR="00517D52">
        <w:t>Species assemblages for these smaller systems were generally made up of brook sticklebacks, fantail and johnny darter, and occasionally creek chubs.  Most of these are considered pioneer species and can tolerate a variety of conditions</w:t>
      </w:r>
      <w:r w:rsidR="00A03D77">
        <w:t xml:space="preserve"> and cooler water temperatures</w:t>
      </w:r>
      <w:r w:rsidR="00517D52">
        <w:t>.  Species diversity was consistent on the major streams such as Laxey Creek, Mineral Point Branch, and Sudan Branch.  As is typical with most systems</w:t>
      </w:r>
      <w:r w:rsidR="003157BA">
        <w:t xml:space="preserve"> as one moves downstream</w:t>
      </w:r>
      <w:r w:rsidR="00517D52">
        <w:t>, headwater species tend to disappear and are replaced by species which prefer larger water and more flow</w:t>
      </w:r>
      <w:r w:rsidR="003157BA">
        <w:t>.</w:t>
      </w:r>
      <w:r w:rsidR="00517D52">
        <w:t xml:space="preserve">  However, the majority of sites were </w:t>
      </w:r>
      <w:r w:rsidR="00491D91">
        <w:t>regularl</w:t>
      </w:r>
      <w:r w:rsidR="00517D52">
        <w:t>y made up of white suckers, creek chubs, central stoneroller, common shiner, hornyhead chub, fantail darter, and southern redbelly dace.</w:t>
      </w:r>
      <w:r w:rsidR="00491D91">
        <w:t xml:space="preserve"> Larger river species such as redhorse tended to be found in the lower ½ of Mineral Point Branch (downstream of Ludden Lake) and Sudan Branch (downstream of CTH E).</w:t>
      </w:r>
    </w:p>
    <w:p w:rsidR="00491D91" w:rsidRDefault="00491D91" w:rsidP="0092369F"/>
    <w:p w:rsidR="00CC52B1" w:rsidRDefault="00491D91" w:rsidP="0092369F">
      <w:r>
        <w:t xml:space="preserve">Of the game species, smallmouth bass were the most widely distributed, found in Laxey Creek, Mineral Point Branch, and Sudan Branch.  </w:t>
      </w:r>
      <w:r w:rsidR="00CC52B1">
        <w:t xml:space="preserve">It would appear Laxey Creek serves as a </w:t>
      </w:r>
      <w:r w:rsidR="008512C2">
        <w:t>nursery</w:t>
      </w:r>
      <w:r w:rsidR="00CC52B1">
        <w:t xml:space="preserve"> stream for smallmouth, while Mineral Point and Sudan Branches hold good numbers of multi-year class fish.</w:t>
      </w:r>
      <w:r w:rsidR="00DD0861">
        <w:t xml:space="preserve">  </w:t>
      </w:r>
      <w:r w:rsidR="00CC52B1">
        <w:t>Catfish appear to be restricted to Mineral Point Branch downstream of Ludden Lake</w:t>
      </w:r>
      <w:r w:rsidR="00B83A51">
        <w:t>, but are found in good numbers</w:t>
      </w:r>
      <w:r w:rsidR="00CC52B1">
        <w:t>, with a few stragglers making their way up to the lower reaches of Sudan Branch.</w:t>
      </w:r>
      <w:r w:rsidR="00E25166">
        <w:t xml:space="preserve"> </w:t>
      </w:r>
      <w:r w:rsidR="00DD0861">
        <w:t xml:space="preserve">In general, the size of channel catfish was notable, with fish larger than 18 inches being common. </w:t>
      </w:r>
      <w:r w:rsidR="00E25166">
        <w:t xml:space="preserve">Walleye and northern pike were found in limited numbers in Mineral Point Branch.   </w:t>
      </w:r>
    </w:p>
    <w:p w:rsidR="00CC52B1" w:rsidRDefault="00CC52B1" w:rsidP="0092369F"/>
    <w:p w:rsidR="007468A1" w:rsidRDefault="00CC52B1" w:rsidP="0092369F">
      <w:r>
        <w:t xml:space="preserve">Stream </w:t>
      </w:r>
      <w:r w:rsidR="002D062B">
        <w:t>biologic health</w:t>
      </w:r>
      <w:r>
        <w:t xml:space="preserve"> as indicated by the fishery IBI varies by site, but generally shows good to excellent </w:t>
      </w:r>
      <w:r w:rsidR="002D062B">
        <w:t>qualit</w:t>
      </w:r>
      <w:r w:rsidR="00DD0861">
        <w:t>y.  As indicated earlier, most fisherie</w:t>
      </w:r>
      <w:r w:rsidR="002D062B">
        <w:t>s show the natural community to be cool-warm transitional.  The IBIs for these systems range from 60-100.  According t</w:t>
      </w:r>
      <w:r w:rsidR="00387B4D">
        <w:t>o</w:t>
      </w:r>
      <w:r w:rsidR="001C2B31">
        <w:t>4431101</w:t>
      </w:r>
      <w:r w:rsidR="002D062B">
        <w:t xml:space="preserve"> </w:t>
      </w:r>
      <w:proofErr w:type="spellStart"/>
      <w:r w:rsidR="002D062B">
        <w:t>WisCALM</w:t>
      </w:r>
      <w:proofErr w:type="spellEnd"/>
      <w:r w:rsidR="002D062B">
        <w:t xml:space="preserve"> (WDNR, 201</w:t>
      </w:r>
      <w:r w:rsidR="00DD0861">
        <w:t>3</w:t>
      </w:r>
      <w:r w:rsidR="002D062B">
        <w:t>), streams that are considered headwaters (</w:t>
      </w:r>
      <w:r w:rsidR="002D062B" w:rsidRPr="00DD0861">
        <w:t>90</w:t>
      </w:r>
      <w:r w:rsidR="00DD0861" w:rsidRPr="00DD0861">
        <w:rPr>
          <w:vertAlign w:val="superscript"/>
        </w:rPr>
        <w:t>th</w:t>
      </w:r>
      <w:r w:rsidR="00DD0861" w:rsidRPr="00DD0861">
        <w:t xml:space="preserve"> percentile exceedance flow</w:t>
      </w:r>
      <w:r w:rsidR="002D062B" w:rsidRPr="00DD0861">
        <w:t xml:space="preserve"> </w:t>
      </w:r>
      <w:r w:rsidR="00DD0861" w:rsidRPr="00DD0861">
        <w:rPr>
          <w:u w:val="single"/>
        </w:rPr>
        <w:t>&lt;</w:t>
      </w:r>
      <w:r w:rsidR="002D062B" w:rsidRPr="00DD0861">
        <w:t xml:space="preserve"> 3 c</w:t>
      </w:r>
      <w:r w:rsidR="00DD0861" w:rsidRPr="00DD0861">
        <w:t xml:space="preserve">ubic </w:t>
      </w:r>
      <w:r w:rsidR="002D062B" w:rsidRPr="00DD0861">
        <w:t>f</w:t>
      </w:r>
      <w:r w:rsidR="00DD0861" w:rsidRPr="00DD0861">
        <w:t xml:space="preserve">eet per </w:t>
      </w:r>
      <w:r w:rsidR="002D062B" w:rsidRPr="00DD0861">
        <w:t>s</w:t>
      </w:r>
      <w:r w:rsidR="00DD0861" w:rsidRPr="00DD0861">
        <w:t>econd</w:t>
      </w:r>
      <w:r w:rsidR="002D062B" w:rsidRPr="00DD0861">
        <w:t>) should be evaluated using the</w:t>
      </w:r>
      <w:r w:rsidR="002D062B">
        <w:t xml:space="preserve"> “Small and Intermittent Stream IBI” (Lyons, 2006).  When this is applied to the streams where the verified community is confirmed as a headwater, most sites are between 60 (fair) and 100 (excellent).  The exceptions to this were Brewery Creek at Copper Street, and two unnamed tributaries, W</w:t>
      </w:r>
      <w:r w:rsidR="00A11B11">
        <w:t>BIC =930900 and WBIC = 928500 where the small and intermittent stream IBI was “poor”.  Biologists ascertained that the depauperate fish community in Brewery Creek at Copper Street and the unnamed tributary (WBIC</w:t>
      </w:r>
      <w:r w:rsidR="00FE765A">
        <w:t xml:space="preserve"> </w:t>
      </w:r>
      <w:r w:rsidR="00A11B11">
        <w:t>=</w:t>
      </w:r>
      <w:r w:rsidR="00FE765A">
        <w:t xml:space="preserve"> </w:t>
      </w:r>
      <w:r w:rsidR="00A11B11">
        <w:t>930900) was mainly attributed to the stream being small, with limited flow.</w:t>
      </w:r>
      <w:r w:rsidR="00491D91">
        <w:t xml:space="preserve"> </w:t>
      </w:r>
      <w:r w:rsidR="00A11B11">
        <w:t xml:space="preserve"> The reason for a lack of fish in the unnamed tributary (WBIC = 928500) to Rock Branch was more unclear.  </w:t>
      </w:r>
      <w:r w:rsidR="003157BA">
        <w:t>According to biologists, t</w:t>
      </w:r>
      <w:r w:rsidR="00A11B11">
        <w:t>he habitat was good</w:t>
      </w:r>
      <w:r w:rsidR="00F46ABB">
        <w:t xml:space="preserve"> a</w:t>
      </w:r>
      <w:r w:rsidR="003157BA">
        <w:t>nd flow was adequate to support more fish.  However, the</w:t>
      </w:r>
      <w:r w:rsidR="00E0661B">
        <w:t xml:space="preserve"> (instantaneous)</w:t>
      </w:r>
      <w:r w:rsidR="003157BA">
        <w:t xml:space="preserve"> temperature was cold (12</w:t>
      </w:r>
      <w:r w:rsidR="003157BA" w:rsidRPr="003157BA">
        <w:rPr>
          <w:vertAlign w:val="superscript"/>
        </w:rPr>
        <w:t>o</w:t>
      </w:r>
      <w:r w:rsidR="003157BA">
        <w:t xml:space="preserve">C), which may have limited species diversity to some extent. </w:t>
      </w:r>
      <w:r w:rsidR="0078159C">
        <w:t xml:space="preserve"> Biologists noted many perched culverts on the tributaries to Mineral Point Branch along Survey Road</w:t>
      </w:r>
      <w:r w:rsidR="00AE1238">
        <w:t xml:space="preserve"> and on an unnamed tributary (WBIC = 929400) along CTH E</w:t>
      </w:r>
      <w:r w:rsidR="0078159C">
        <w:t>.  However, the fishery</w:t>
      </w:r>
      <w:r w:rsidR="009617F0">
        <w:t xml:space="preserve"> assemblage of these tributaries, even upstream of the culverts,</w:t>
      </w:r>
      <w:r w:rsidR="0078159C">
        <w:t xml:space="preserve"> appears to resemble that of small, headwater streams and contain species of limited motility such as darters.  Therefore the impact of these culverts appears minimal for these particular streams.</w:t>
      </w:r>
    </w:p>
    <w:p w:rsidR="007468A1" w:rsidRDefault="007468A1" w:rsidP="0092369F"/>
    <w:p w:rsidR="00B83A51" w:rsidRDefault="007468A1" w:rsidP="0092369F">
      <w:r>
        <w:lastRenderedPageBreak/>
        <w:t>On the other end of the spectrum, the natural community verification process showed the fisheries community of Mineral Point Branch to resemble a warm mainstem or warm river downstream of the Ludden Lake dam.  T</w:t>
      </w:r>
      <w:r w:rsidR="00B83A51">
        <w:t xml:space="preserve">he warmwater IBI, when applied to </w:t>
      </w:r>
      <w:r>
        <w:t xml:space="preserve">these </w:t>
      </w:r>
      <w:r w:rsidR="00B83A51">
        <w:t>sections of Mineral Point</w:t>
      </w:r>
      <w:r>
        <w:t xml:space="preserve"> Branch</w:t>
      </w:r>
      <w:r w:rsidR="00B83A51">
        <w:t xml:space="preserve"> show </w:t>
      </w:r>
      <w:r w:rsidR="00E25166">
        <w:t xml:space="preserve">an “excellent” assemblage of fish.  </w:t>
      </w:r>
    </w:p>
    <w:p w:rsidR="003157BA" w:rsidRDefault="003157BA" w:rsidP="0092369F"/>
    <w:p w:rsidR="008724D8" w:rsidRDefault="008749CE" w:rsidP="008724D8">
      <w:r>
        <w:t>********************************************************************</w:t>
      </w:r>
    </w:p>
    <w:p w:rsidR="008749CE" w:rsidRPr="00F814AD" w:rsidRDefault="008724D8" w:rsidP="008724D8">
      <w:pPr>
        <w:rPr>
          <w:b/>
        </w:rPr>
      </w:pPr>
      <w:r w:rsidRPr="00F814AD">
        <w:rPr>
          <w:b/>
        </w:rPr>
        <w:t>Ludden Lake</w:t>
      </w:r>
      <w:r w:rsidR="002D2B21" w:rsidRPr="00F814AD">
        <w:rPr>
          <w:b/>
        </w:rPr>
        <w:t xml:space="preserve"> </w:t>
      </w:r>
    </w:p>
    <w:p w:rsidR="008749CE" w:rsidRPr="009C71FE" w:rsidRDefault="008749CE" w:rsidP="008724D8"/>
    <w:p w:rsidR="008724D8" w:rsidRDefault="00CD30F9" w:rsidP="008724D8">
      <w:r w:rsidRPr="009C71FE">
        <w:t xml:space="preserve">Lentic systems are rare in the driftless area of southwest Wisconsin and </w:t>
      </w:r>
      <w:r w:rsidR="008749CE" w:rsidRPr="009C71FE">
        <w:t xml:space="preserve">more </w:t>
      </w:r>
      <w:r w:rsidRPr="009C71FE">
        <w:t>specifically in the upper Pecatonica basin.  For this reason, Ludden Lake is unique feature of this watershed.  The l</w:t>
      </w:r>
      <w:r w:rsidR="004A0C4C" w:rsidRPr="009C71FE">
        <w:t>ake is a shallow lowland reservoir</w:t>
      </w:r>
      <w:r w:rsidR="000154F7" w:rsidRPr="009C71FE">
        <w:t xml:space="preserve"> that is an impoundment of Mineral Point Branch.  Constructed in 1963, it was developed as a local recreational opportunity and residential development project (Sims, 2013)</w:t>
      </w:r>
      <w:r w:rsidR="004A0C4C" w:rsidRPr="009C71FE">
        <w:t>.</w:t>
      </w:r>
      <w:r w:rsidR="008724D8" w:rsidRPr="009C71FE">
        <w:t xml:space="preserve">  </w:t>
      </w:r>
    </w:p>
    <w:p w:rsidR="00F814AD" w:rsidRPr="009C71FE" w:rsidRDefault="00F814AD" w:rsidP="008724D8"/>
    <w:p w:rsidR="00787DAB" w:rsidRPr="009C71FE" w:rsidRDefault="004F1F82" w:rsidP="008530DB">
      <w:r>
        <w:rPr>
          <w:noProof/>
        </w:rPr>
        <mc:AlternateContent>
          <mc:Choice Requires="wps">
            <w:drawing>
              <wp:anchor distT="0" distB="0" distL="114300" distR="114300" simplePos="0" relativeHeight="251663360" behindDoc="0" locked="0" layoutInCell="1" allowOverlap="1" wp14:anchorId="546D4E35" wp14:editId="005E3627">
                <wp:simplePos x="0" y="0"/>
                <wp:positionH relativeFrom="column">
                  <wp:posOffset>2600185</wp:posOffset>
                </wp:positionH>
                <wp:positionV relativeFrom="paragraph">
                  <wp:posOffset>303376</wp:posOffset>
                </wp:positionV>
                <wp:extent cx="2160312" cy="301451"/>
                <wp:effectExtent l="0" t="0" r="11430" b="22860"/>
                <wp:wrapNone/>
                <wp:docPr id="27" name="Text Box 27"/>
                <wp:cNvGraphicFramePr/>
                <a:graphic xmlns:a="http://schemas.openxmlformats.org/drawingml/2006/main">
                  <a:graphicData uri="http://schemas.microsoft.com/office/word/2010/wordprocessingShape">
                    <wps:wsp>
                      <wps:cNvSpPr txBox="1"/>
                      <wps:spPr>
                        <a:xfrm>
                          <a:off x="0" y="0"/>
                          <a:ext cx="2160312" cy="3014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14AD" w:rsidRDefault="00F814AD">
                            <w:r>
                              <w:t>Ludden Lake</w:t>
                            </w:r>
                            <w:r w:rsidR="004F1F82">
                              <w:t>, Iowa County, WI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7" o:spid="_x0000_s1028" type="#_x0000_t202" style="position:absolute;margin-left:204.75pt;margin-top:23.9pt;width:170.1pt;height:2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" fillcolor="white [3201]" strokeweight=".5pt">
                <v:textbox>
                  <w:txbxContent>
                    <w:p w:rsidR="00F814AD" w:rsidRDefault="00F814AD">
                      <w:r>
                        <w:t>Ludden Lake</w:t>
                      </w:r>
                      <w:r w:rsidR="004F1F82">
                        <w:t>, Iowa County, WI</w:t>
                      </w:r>
                    </w:p>
                  </w:txbxContent>
                </v:textbox>
              </v:shape>
            </w:pict>
          </mc:Fallback>
        </mc:AlternateContent>
      </w:r>
      <w:r>
        <w:rPr>
          <w:noProof/>
        </w:rPr>
        <mc:AlternateContent>
          <mc:Choice Requires="wps">
            <w:drawing>
              <wp:anchor distT="91440" distB="91440" distL="114300" distR="114300" simplePos="0" relativeHeight="251662336" behindDoc="0" locked="0" layoutInCell="0" allowOverlap="1" wp14:anchorId="679CAA8B" wp14:editId="00479009">
                <wp:simplePos x="0" y="0"/>
                <wp:positionH relativeFrom="margin">
                  <wp:posOffset>2258060</wp:posOffset>
                </wp:positionH>
                <wp:positionV relativeFrom="margin">
                  <wp:posOffset>2686050</wp:posOffset>
                </wp:positionV>
                <wp:extent cx="3004185" cy="2424430"/>
                <wp:effectExtent l="38100" t="38100" r="120015" b="109220"/>
                <wp:wrapSquare wrapText="bothSides"/>
                <wp:docPr id="25"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004185" cy="2424430"/>
                        </a:xfrm>
                        <a:prstGeom prst="rect">
                          <a:avLst/>
                        </a:prstGeom>
                        <a:solidFill>
                          <a:schemeClr val="bg1"/>
                        </a:solidFill>
                        <a:ln w="19050">
                          <a:solidFill>
                            <a:schemeClr val="tx1">
                              <a:lumMod val="50000"/>
                              <a:lumOff val="50000"/>
                            </a:schemeClr>
                          </a:solidFill>
                          <a:miter lim="800000"/>
                          <a:headEnd/>
                          <a:tailEnd/>
                        </a:ln>
                        <a:effectLst>
                          <a:outerShdw blurRad="50800" dist="38100" dir="2700000" sx="100500" sy="100500" algn="tl" rotWithShape="0">
                            <a:prstClr val="black">
                              <a:alpha val="40000"/>
                            </a:prstClr>
                          </a:outerShdw>
                        </a:effectLst>
                      </wps:spPr>
                      <wps:txbx>
                        <w:txbxContent>
                          <w:p w:rsidR="00F814AD" w:rsidRDefault="00F814AD">
                            <w:pPr>
                              <w:rPr>
                                <w:color w:val="4F81BD" w:themeColor="accent1"/>
                                <w:sz w:val="20"/>
                                <w:szCs w:val="20"/>
                              </w:rPr>
                            </w:pPr>
                            <w:r>
                              <w:rPr>
                                <w:noProof/>
                                <w:color w:val="4F81BD" w:themeColor="accent1"/>
                                <w:sz w:val="20"/>
                                <w:szCs w:val="20"/>
                              </w:rPr>
                              <w:drawing>
                                <wp:inline distT="0" distB="0" distL="0" distR="0" wp14:anchorId="44450385" wp14:editId="26A4DCC2">
                                  <wp:extent cx="2377440" cy="1782627"/>
                                  <wp:effectExtent l="0" t="0" r="3810" b="8255"/>
                                  <wp:docPr id="26" name="Picture 26" descr="C:\Users\amrhej\Pictures\Mineral Point and Sudan Br (2015)\Ludden L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rhej\Pictures\Mineral Point and Sudan Br (2015)\Ludden Lk2.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31000"/>
                                                    </a14:imgEffect>
                                                  </a14:imgLayer>
                                                </a14:imgProps>
                                              </a:ext>
                                              <a:ext uri="{28A0092B-C50C-407E-A947-70E740481C1C}">
                                                <a14:useLocalDpi xmlns:a14="http://schemas.microsoft.com/office/drawing/2010/main" val="0"/>
                                              </a:ext>
                                            </a:extLst>
                                          </a:blip>
                                          <a:srcRect/>
                                          <a:stretch>
                                            <a:fillRect/>
                                          </a:stretch>
                                        </pic:blipFill>
                                        <pic:spPr bwMode="auto">
                                          <a:xfrm>
                                            <a:off x="0" y="0"/>
                                            <a:ext cx="2377440" cy="1782627"/>
                                          </a:xfrm>
                                          <a:prstGeom prst="rect">
                                            <a:avLst/>
                                          </a:prstGeom>
                                          <a:noFill/>
                                          <a:ln>
                                            <a:noFill/>
                                          </a:ln>
                                        </pic:spPr>
                                      </pic:pic>
                                    </a:graphicData>
                                  </a:graphic>
                                </wp:inline>
                              </w:drawing>
                            </w:r>
                          </w:p>
                        </w:txbxContent>
                      </wps:txbx>
                      <wps:bodyPr rot="0" vert="horz" wrap="square" lIns="274320" tIns="274320" rIns="274320" bIns="274320" anchor="ctr" anchorCtr="0">
                        <a:noAutofit/>
                      </wps:bodyPr>
                    </wps:wsp>
                  </a:graphicData>
                </a:graphic>
                <wp14:sizeRelH relativeFrom="margin">
                  <wp14:pctWidth>0</wp14:pctWidth>
                </wp14:sizeRelH>
                <wp14:sizeRelV relativeFrom="page">
                  <wp14:pctHeight>0</wp14:pctHeight>
                </wp14:sizeRelV>
              </wp:anchor>
            </w:drawing>
          </mc:Choice>
          <mc:Fallback>
            <w:pict>
              <v:rect id="_x0000_s1029" style="position:absolute;margin-left:177.8pt;margin-top:211.5pt;width:236.55pt;height:190.9pt;flip:x;z-index:25166233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" o:allowincell="f" fillcolor="white [3212]" strokecolor="gray [1629]" strokeweight="1.5pt">
                <v:shadow on="t" type="perspective" color="black" opacity="26214f" origin="-.5,-.5" offset=".74836mm,.74836mm" matrix="65864f,,,65864f"/>
                <v:textbox inset="21.6pt,21.6pt,21.6pt,21.6pt">
                  <w:txbxContent>
                    <w:p w:rsidR="00F814AD" w:rsidRDefault="00F814AD">
                      <w:pPr>
                        <w:rPr>
                          <w:color w:val="4F81BD" w:themeColor="accent1"/>
                          <w:sz w:val="20"/>
                          <w:szCs w:val="20"/>
                        </w:rPr>
                      </w:pPr>
                      <w:r>
                        <w:rPr>
                          <w:noProof/>
                          <w:color w:val="4F81BD" w:themeColor="accent1"/>
                          <w:sz w:val="20"/>
                          <w:szCs w:val="20"/>
                        </w:rPr>
                        <w:drawing>
                          <wp:inline distT="0" distB="0" distL="0" distR="0" wp14:anchorId="44450385" wp14:editId="26A4DCC2">
                            <wp:extent cx="2377440" cy="1782627"/>
                            <wp:effectExtent l="0" t="0" r="3810" b="8255"/>
                            <wp:docPr id="26" name="Picture 26" descr="C:\Users\amrhej\Pictures\Mineral Point and Sudan Br (2015)\Ludden L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rhej\Pictures\Mineral Point and Sudan Br (2015)\Ludden Lk2.JPG"/>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31000"/>
                                              </a14:imgEffect>
                                            </a14:imgLayer>
                                          </a14:imgProps>
                                        </a:ext>
                                        <a:ext uri="{28A0092B-C50C-407E-A947-70E740481C1C}">
                                          <a14:useLocalDpi xmlns:a14="http://schemas.microsoft.com/office/drawing/2010/main" val="0"/>
                                        </a:ext>
                                      </a:extLst>
                                    </a:blip>
                                    <a:srcRect/>
                                    <a:stretch>
                                      <a:fillRect/>
                                    </a:stretch>
                                  </pic:blipFill>
                                  <pic:spPr bwMode="auto">
                                    <a:xfrm>
                                      <a:off x="0" y="0"/>
                                      <a:ext cx="2377440" cy="1782627"/>
                                    </a:xfrm>
                                    <a:prstGeom prst="rect">
                                      <a:avLst/>
                                    </a:prstGeom>
                                    <a:noFill/>
                                    <a:ln>
                                      <a:noFill/>
                                    </a:ln>
                                  </pic:spPr>
                                </pic:pic>
                              </a:graphicData>
                            </a:graphic>
                          </wp:inline>
                        </w:drawing>
                      </w:r>
                    </w:p>
                  </w:txbxContent>
                </v:textbox>
                <w10:wrap type="square" anchorx="margin" anchory="margin"/>
              </v:rect>
            </w:pict>
          </mc:Fallback>
        </mc:AlternateContent>
      </w:r>
      <w:r w:rsidR="00E96872" w:rsidRPr="009C71FE">
        <w:t xml:space="preserve">Maximum depth of the lake has decreased from 14 feet in 1965 to 10 feet in 2013, presumably from excessive sediment losses from the upstream watershed.  </w:t>
      </w:r>
      <w:r w:rsidR="004A0C4C" w:rsidRPr="009C71FE">
        <w:t xml:space="preserve">Total P and TSI indicate a eutrophic system. </w:t>
      </w:r>
      <w:r w:rsidR="005652B9">
        <w:t xml:space="preserve"> Low transparency caused by algal blooms and suspended sediment limits the growth of aquatic vegetation.</w:t>
      </w:r>
      <w:r w:rsidR="004A0C4C" w:rsidRPr="009C71FE">
        <w:t xml:space="preserve"> </w:t>
      </w:r>
      <w:r w:rsidR="00E96872" w:rsidRPr="009C71FE">
        <w:t>The lake is regularly stocked with walleye, but also contains black crappie, blue</w:t>
      </w:r>
      <w:r w:rsidR="004C2569" w:rsidRPr="009C71FE">
        <w:t xml:space="preserve">gill, channel catfish, and carp, and the occasional largemouth bass, green sunfish, smallmouth bass, and white sucker (Ibid).  </w:t>
      </w:r>
    </w:p>
    <w:p w:rsidR="002F317D" w:rsidRPr="009C71FE" w:rsidRDefault="002F317D" w:rsidP="008530DB"/>
    <w:p w:rsidR="002F317D" w:rsidRPr="009C71FE" w:rsidRDefault="002F317D" w:rsidP="008530DB">
      <w:r w:rsidRPr="009C71FE">
        <w:t xml:space="preserve">The most recent water chemistry data collected in 2013 and 2015 show the lake clearly exceeds the </w:t>
      </w:r>
      <w:r w:rsidR="008749CE" w:rsidRPr="009C71FE">
        <w:t xml:space="preserve">fish and aquatic life (FAL) </w:t>
      </w:r>
      <w:r w:rsidRPr="009C71FE">
        <w:t>standards and</w:t>
      </w:r>
      <w:r w:rsidR="008749CE" w:rsidRPr="009C71FE">
        <w:t xml:space="preserve"> recreational</w:t>
      </w:r>
      <w:r w:rsidRPr="009C71FE">
        <w:t xml:space="preserve"> thresholds for total phosphorus and chlorophyll a (Table </w:t>
      </w:r>
      <w:r w:rsidR="00F814AD">
        <w:t>6</w:t>
      </w:r>
      <w:r w:rsidRPr="009C71FE">
        <w:t>).  Therefore the lake should be listed as impaired on the state’s 303(d) list.</w:t>
      </w:r>
      <w:r w:rsidR="005652B9">
        <w:t xml:space="preserve">  The lake would also benefit from implementation of land use practices designed to mitigate soil loss from lands in the upstream watershed.</w:t>
      </w:r>
    </w:p>
    <w:p w:rsidR="008749CE" w:rsidRPr="009C71FE" w:rsidRDefault="008749CE" w:rsidP="008530DB"/>
    <w:p w:rsidR="008749CE" w:rsidRDefault="008749CE" w:rsidP="008530DB">
      <w:r>
        <w:t xml:space="preserve">Table </w:t>
      </w:r>
      <w:r w:rsidR="00F814AD">
        <w:t>6</w:t>
      </w:r>
      <w:r>
        <w:t>: Ludden Lake Water Chemistry (2013 and 2015 data)</w:t>
      </w:r>
    </w:p>
    <w:p w:rsidR="008749CE" w:rsidRPr="009C71FE" w:rsidRDefault="00E73651" w:rsidP="008530DB">
      <w:r w:rsidRPr="00E73651">
        <w:rPr>
          <w:noProof/>
        </w:rPr>
        <w:drawing>
          <wp:inline distT="0" distB="0" distL="0" distR="0" wp14:anchorId="77B0C231" wp14:editId="5316CFFB">
            <wp:extent cx="5216525" cy="1011344"/>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16525" cy="1011344"/>
                    </a:xfrm>
                    <a:prstGeom prst="rect">
                      <a:avLst/>
                    </a:prstGeom>
                    <a:noFill/>
                    <a:ln>
                      <a:noFill/>
                    </a:ln>
                  </pic:spPr>
                </pic:pic>
              </a:graphicData>
            </a:graphic>
          </wp:inline>
        </w:drawing>
      </w:r>
    </w:p>
    <w:p w:rsidR="008749CE" w:rsidRPr="009C71FE" w:rsidRDefault="008749CE" w:rsidP="008530DB"/>
    <w:p w:rsidR="002F317D" w:rsidRPr="009C71FE" w:rsidRDefault="002F317D" w:rsidP="008530DB"/>
    <w:p w:rsidR="002F317D" w:rsidRPr="008749CE" w:rsidRDefault="008749CE" w:rsidP="008530DB">
      <w:r w:rsidRPr="008749CE">
        <w:t>******************************************************************</w:t>
      </w:r>
    </w:p>
    <w:p w:rsidR="004A0C4C" w:rsidRDefault="004A0C4C" w:rsidP="008530DB"/>
    <w:p w:rsidR="00DC2455" w:rsidRDefault="00875A74" w:rsidP="00DC2455">
      <w:r>
        <w:lastRenderedPageBreak/>
        <w:t xml:space="preserve">The landscape of this watershed contains row crops on the hilltops and lesser sloped hillsides.  Woodlands dot the steeper hillsides </w:t>
      </w:r>
      <w:r w:rsidR="002D025B">
        <w:t>while</w:t>
      </w:r>
      <w:r>
        <w:t xml:space="preserve"> many of the streams of this watershed flow through pastured</w:t>
      </w:r>
      <w:r w:rsidR="003A0C51">
        <w:t xml:space="preserve"> meadows.  Biologists noted, for the most part during 2015, pastures were not extensively overgrazed.  There tended to be grass cover of 6 inches or more.  However, there were exceptions to this as noted in individual stream narratives (</w:t>
      </w:r>
      <w:r w:rsidR="009617F0">
        <w:t>Appendix 2</w:t>
      </w:r>
      <w:r w:rsidR="003A0C51">
        <w:t xml:space="preserve">). </w:t>
      </w:r>
      <w:r w:rsidR="009A590D">
        <w:t xml:space="preserve"> Row crops become more prevalent in the broader valleys of Mineral Point Branch, downstream of STH 151.  This is reflected in the habitat score which shows buffers to vary depending upon the stream and its place in the watershed.  For instance, the tributaries to Mineral Point Branch along Survey Road are protected by meadow and presumably old pastureland that is now in set</w:t>
      </w:r>
      <w:r w:rsidR="001E0CFD">
        <w:t>-</w:t>
      </w:r>
      <w:r w:rsidR="009A590D">
        <w:t xml:space="preserve">aside.  In contrast, the mainstem of Mineral Point Branch has little to no buffer from either row crops or pasturing.  It is not surprising that there is a correlation between buffer and respective bank erosion score.  There is also a further correlation between </w:t>
      </w:r>
      <w:r w:rsidR="002D025B">
        <w:t xml:space="preserve">erosion score and </w:t>
      </w:r>
      <w:r w:rsidR="009A590D">
        <w:t>the intensity of the grazing, as reflected in the biologist’s notes.</w:t>
      </w:r>
      <w:r w:rsidR="00DC2455">
        <w:t xml:space="preserve">  Sites within a riparian wooded corridor also tended to have steeply eroding banks.</w:t>
      </w:r>
    </w:p>
    <w:p w:rsidR="009A590D" w:rsidRDefault="009A590D" w:rsidP="008530DB"/>
    <w:p w:rsidR="002D025B" w:rsidRDefault="00D307B2" w:rsidP="008530DB">
      <w:r>
        <w:t xml:space="preserve">The range of overall habitat scores ranged from 30 (fair) to 73 (good).  </w:t>
      </w:r>
      <w:r w:rsidR="0035361A">
        <w:t>The great majority of the “good” habitat scores (</w:t>
      </w:r>
      <w:r w:rsidR="0035361A" w:rsidRPr="0035361A">
        <w:rPr>
          <w:u w:val="single"/>
        </w:rPr>
        <w:t>&gt;</w:t>
      </w:r>
      <w:r w:rsidR="0035361A">
        <w:t xml:space="preserve">50) were either unnamed tributary streams or in the headwaters of named streams.  Mainstems of the major named tributaries tended to score </w:t>
      </w:r>
      <w:r w:rsidR="002D025B">
        <w:t>between</w:t>
      </w:r>
      <w:r w:rsidR="0035361A">
        <w:t xml:space="preserve"> 35 </w:t>
      </w:r>
      <w:r w:rsidR="002D025B">
        <w:t>and</w:t>
      </w:r>
      <w:r w:rsidR="0035361A">
        <w:t xml:space="preserve"> 48 (fair).  Bank erosion and width/depth ratio were the driving factors which influenced the </w:t>
      </w:r>
      <w:r w:rsidR="002D025B">
        <w:t xml:space="preserve">difference in the </w:t>
      </w:r>
      <w:r w:rsidR="0035361A">
        <w:t>overall score the most</w:t>
      </w:r>
      <w:r w:rsidR="001E0CFD">
        <w:t xml:space="preserve"> while r</w:t>
      </w:r>
      <w:r w:rsidR="0035361A">
        <w:t>iparian buffer score, percent fine sediments, and fish cover score played a role to a lesser extent.</w:t>
      </w:r>
      <w:r w:rsidR="002D025B">
        <w:t xml:space="preserve">  </w:t>
      </w:r>
      <w:r w:rsidR="00283B3A">
        <w:t>Most sites did not have an overabundance of fine sediments, most</w:t>
      </w:r>
      <w:r w:rsidR="001E0CFD">
        <w:t>ly</w:t>
      </w:r>
      <w:r w:rsidR="00283B3A">
        <w:t xml:space="preserve"> due to the gradient which allows for scour of the bottom.  Fish habitat was “good” at most sites and included nice riffle/run complexes, some wood and overhanging vegetation, and deep water in the corners and thalweg on the larger systems.</w:t>
      </w:r>
    </w:p>
    <w:p w:rsidR="00436E25" w:rsidRDefault="00436E25" w:rsidP="008530DB"/>
    <w:p w:rsidR="001B58F3" w:rsidRDefault="00436E25" w:rsidP="008530DB">
      <w:r>
        <w:t>The macroinvertebrate community</w:t>
      </w:r>
      <w:r w:rsidR="00250D95">
        <w:t>,</w:t>
      </w:r>
      <w:r>
        <w:t xml:space="preserve"> </w:t>
      </w:r>
      <w:r w:rsidR="005D5CF5">
        <w:t>as seen in T</w:t>
      </w:r>
      <w:r>
        <w:t>able 5</w:t>
      </w:r>
      <w:r w:rsidR="00250D95">
        <w:t>,</w:t>
      </w:r>
      <w:r>
        <w:t xml:space="preserve"> </w:t>
      </w:r>
      <w:r w:rsidR="00202101">
        <w:t>tends to reflect the land use</w:t>
      </w:r>
      <w:r w:rsidR="00036E00">
        <w:t xml:space="preserve"> and to some extent the overall habitat score</w:t>
      </w:r>
      <w:r w:rsidR="00202101">
        <w:t>.</w:t>
      </w:r>
      <w:r>
        <w:t xml:space="preserve">  </w:t>
      </w:r>
      <w:r w:rsidR="00202101">
        <w:t>The vast majority of</w:t>
      </w:r>
      <w:r>
        <w:t xml:space="preserve"> </w:t>
      </w:r>
      <w:r w:rsidR="00202101">
        <w:t xml:space="preserve">scores (25 of 28) are in the “fair” to “poor” range.  The </w:t>
      </w:r>
      <w:r>
        <w:t xml:space="preserve">macroinvertebrate IBI has shown the combination of watershed land cover and local riparian and instream conditions strongly influence one another (Weigel, 2003).  While watershed and local variables explain a significant portion of variance among sites, Weigel found that in the driftless region, localized stressors were of greater importance to explain the IBI than in other parts of the state.  Livestock grazing measured disturbance intensity and indicated its proximity to the stream.  </w:t>
      </w:r>
      <w:r w:rsidR="00036E00">
        <w:t xml:space="preserve">A </w:t>
      </w:r>
      <w:r>
        <w:t xml:space="preserve">majority of stream sites had poor to fair buffer scores due to the prevalence of pasturing in stream valleys throughout the watershed.  </w:t>
      </w:r>
      <w:r w:rsidR="00036E00">
        <w:t>The headwaters of named streams and also unnamed tributaries tended to have higher MIBI scores.  This may be a reflection of the smaller watershed size for these systems, a better buffer</w:t>
      </w:r>
      <w:r w:rsidR="005D5CF5">
        <w:t xml:space="preserve"> (albeit coincidental)</w:t>
      </w:r>
      <w:r w:rsidR="00036E00">
        <w:t xml:space="preserve"> for these specific sites, or a combination of these factors.  Either way, macroinvertebrate IBIs tended to decrease as one proceeded from upstream to downstream on many of the streams.   </w:t>
      </w:r>
      <w:r w:rsidR="005D5CF5">
        <w:t>Overall, m</w:t>
      </w:r>
      <w:r>
        <w:t xml:space="preserve">acroinvertebrate scores were typical of streams in the driftless area south of the Military Ridge, which tend to </w:t>
      </w:r>
      <w:r w:rsidR="00250D95">
        <w:t>be</w:t>
      </w:r>
      <w:r>
        <w:t xml:space="preserve"> depressed.  This is likely a reflection of the intensity of agriculture in the region combined with a vulnerable landscape</w:t>
      </w:r>
      <w:r w:rsidR="005D5CF5">
        <w:t xml:space="preserve"> (i.e. steep slopes, shallow soils, and highly erodible land)</w:t>
      </w:r>
      <w:r>
        <w:t>.</w:t>
      </w:r>
      <w:r w:rsidR="00036E00">
        <w:t xml:space="preserve">  The MIBI scores for Brewery Creek may also be a reflection of the influence of mine waste in the area.</w:t>
      </w:r>
    </w:p>
    <w:p w:rsidR="00117B33" w:rsidRDefault="00117B33" w:rsidP="008530DB"/>
    <w:p w:rsidR="00117B33" w:rsidRDefault="00117B33" w:rsidP="008530DB">
      <w:r>
        <w:lastRenderedPageBreak/>
        <w:t xml:space="preserve">HBI scores were very consistent throughout the watershed with scores ranging from 3.92 (very good) to 5.91 (fair) with most scores between 4.5 and 5.5, or “good”.  This indicates there is minimal organic loading to these systems. </w:t>
      </w:r>
    </w:p>
    <w:p w:rsidR="00DC2455" w:rsidRDefault="00DC2455" w:rsidP="008530DB"/>
    <w:p w:rsidR="00C906FF" w:rsidRDefault="00F42FD1" w:rsidP="008530DB">
      <w:r>
        <w:rPr>
          <w:noProof/>
        </w:rPr>
        <mc:AlternateContent>
          <mc:Choice Requires="wps">
            <w:drawing>
              <wp:anchor distT="0" distB="0" distL="114300" distR="114300" simplePos="0" relativeHeight="251667456" behindDoc="0" locked="0" layoutInCell="1" allowOverlap="1" wp14:anchorId="3BFB7990" wp14:editId="39734D59">
                <wp:simplePos x="0" y="0"/>
                <wp:positionH relativeFrom="column">
                  <wp:posOffset>2147605</wp:posOffset>
                </wp:positionH>
                <wp:positionV relativeFrom="paragraph">
                  <wp:posOffset>779417</wp:posOffset>
                </wp:positionV>
                <wp:extent cx="2632075" cy="260985"/>
                <wp:effectExtent l="0" t="0" r="15875" b="2476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260985"/>
                        </a:xfrm>
                        <a:prstGeom prst="rect">
                          <a:avLst/>
                        </a:prstGeom>
                        <a:solidFill>
                          <a:srgbClr val="FFFFFF"/>
                        </a:solidFill>
                        <a:ln w="9525">
                          <a:solidFill>
                            <a:srgbClr val="000000"/>
                          </a:solidFill>
                          <a:miter lim="800000"/>
                          <a:headEnd/>
                          <a:tailEnd/>
                        </a:ln>
                      </wps:spPr>
                      <wps:txbx>
                        <w:txbxContent>
                          <w:p w:rsidR="00F42FD1" w:rsidRPr="00F42FD1" w:rsidRDefault="00F42FD1">
                            <w:pPr>
                              <w:rPr>
                                <w:sz w:val="16"/>
                                <w:szCs w:val="16"/>
                              </w:rPr>
                            </w:pPr>
                            <w:r w:rsidRPr="00F42FD1">
                              <w:rPr>
                                <w:sz w:val="16"/>
                                <w:szCs w:val="16"/>
                              </w:rPr>
                              <w:t xml:space="preserve">Cows along Mineral Point  </w:t>
                            </w:r>
                            <w:r>
                              <w:rPr>
                                <w:sz w:val="16"/>
                                <w:szCs w:val="16"/>
                              </w:rPr>
                              <w:t>Branch – North Oak Park Road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margin-left:169.1pt;margin-top:61.35pt;width:207.25pt;height:20.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">
                <v:textbox>
                  <w:txbxContent>
                    <w:p w:rsidR="00F42FD1" w:rsidRPr="00F42FD1" w:rsidRDefault="00F42FD1">
                      <w:pPr>
                        <w:rPr>
                          <w:sz w:val="16"/>
                          <w:szCs w:val="16"/>
                        </w:rPr>
                      </w:pPr>
                      <w:r w:rsidRPr="00F42FD1">
                        <w:rPr>
                          <w:sz w:val="16"/>
                          <w:szCs w:val="16"/>
                        </w:rPr>
                        <w:t xml:space="preserve">Cows along Mineral Point  </w:t>
                      </w:r>
                      <w:r>
                        <w:rPr>
                          <w:sz w:val="16"/>
                          <w:szCs w:val="16"/>
                        </w:rPr>
                        <w:t>Branch – North Oak Park Road</w:t>
                      </w:r>
                    </w:p>
                  </w:txbxContent>
                </v:textbox>
              </v:shape>
            </w:pict>
          </mc:Fallback>
        </mc:AlternateContent>
      </w:r>
      <w:r>
        <w:rPr>
          <w:noProof/>
        </w:rPr>
        <mc:AlternateContent>
          <mc:Choice Requires="wps">
            <w:drawing>
              <wp:anchor distT="91440" distB="91440" distL="114300" distR="114300" simplePos="0" relativeHeight="251665408" behindDoc="0" locked="0" layoutInCell="0" allowOverlap="1" wp14:anchorId="6C6B0770" wp14:editId="61094726">
                <wp:simplePos x="0" y="0"/>
                <wp:positionH relativeFrom="margin">
                  <wp:align>right</wp:align>
                </wp:positionH>
                <mc:AlternateContent>
                  <mc:Choice Requires="wp14">
                    <wp:positionV relativeFrom="margin">
                      <wp14:pctPosVOffset>16000</wp14:pctPosVOffset>
                    </wp:positionV>
                  </mc:Choice>
                  <mc:Fallback>
                    <wp:positionV relativeFrom="page">
                      <wp:posOffset>2217420</wp:posOffset>
                    </wp:positionV>
                  </mc:Fallback>
                </mc:AlternateContent>
                <wp:extent cx="3255645" cy="2069465"/>
                <wp:effectExtent l="38100" t="38100" r="116205" b="121285"/>
                <wp:wrapSquare wrapText="bothSides"/>
                <wp:docPr id="28"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3255666" cy="2069465"/>
                        </a:xfrm>
                        <a:prstGeom prst="rect">
                          <a:avLst/>
                        </a:prstGeom>
                        <a:solidFill>
                          <a:schemeClr val="bg1"/>
                        </a:solidFill>
                        <a:ln w="19050">
                          <a:solidFill>
                            <a:schemeClr val="tx1">
                              <a:lumMod val="50000"/>
                              <a:lumOff val="50000"/>
                            </a:schemeClr>
                          </a:solidFill>
                          <a:miter lim="800000"/>
                          <a:headEnd/>
                          <a:tailEnd/>
                        </a:ln>
                        <a:effectLst>
                          <a:outerShdw blurRad="50800" dist="38100" dir="2700000" sx="100500" sy="100500" algn="tl" rotWithShape="0">
                            <a:prstClr val="black">
                              <a:alpha val="40000"/>
                            </a:prstClr>
                          </a:outerShdw>
                        </a:effectLst>
                      </wps:spPr>
                      <wps:txbx>
                        <w:txbxContent>
                          <w:p w:rsidR="00F42FD1" w:rsidRDefault="00F42FD1">
                            <w:pPr>
                              <w:rPr>
                                <w:color w:val="4F81BD" w:themeColor="accent1"/>
                                <w:sz w:val="20"/>
                                <w:szCs w:val="20"/>
                              </w:rPr>
                            </w:pPr>
                            <w:r>
                              <w:rPr>
                                <w:noProof/>
                                <w:color w:val="4F81BD" w:themeColor="accent1"/>
                                <w:sz w:val="20"/>
                                <w:szCs w:val="20"/>
                              </w:rPr>
                              <w:drawing>
                                <wp:inline distT="0" distB="0" distL="0" distR="0" wp14:anchorId="092FA9BB" wp14:editId="048F1340">
                                  <wp:extent cx="2714933" cy="1527349"/>
                                  <wp:effectExtent l="0" t="0" r="0" b="0"/>
                                  <wp:docPr id="29" name="Picture 29" descr="C:\Users\amrhej\Pictures\Mineral Point and Sudan Br (2015)\Mineral Pt Br - N Oak Park 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rhej\Pictures\Mineral Point and Sudan Br (2015)\Mineral Pt Br - N Oak Park Rd.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733804" cy="1537965"/>
                                          </a:xfrm>
                                          <a:prstGeom prst="rect">
                                            <a:avLst/>
                                          </a:prstGeom>
                                          <a:noFill/>
                                          <a:ln>
                                            <a:noFill/>
                                          </a:ln>
                                        </pic:spPr>
                                      </pic:pic>
                                    </a:graphicData>
                                  </a:graphic>
                                </wp:inline>
                              </w:drawing>
                            </w:r>
                          </w:p>
                        </w:txbxContent>
                      </wps:txbx>
                      <wps:bodyPr rot="0" vert="horz" wrap="square" lIns="274320" tIns="274320" rIns="274320" bIns="274320" anchor="ctr" anchorCtr="0">
                        <a:noAutofit/>
                      </wps:bodyPr>
                    </wps:wsp>
                  </a:graphicData>
                </a:graphic>
                <wp14:sizeRelH relativeFrom="margin">
                  <wp14:pctWidth>0</wp14:pctWidth>
                </wp14:sizeRelH>
                <wp14:sizeRelV relativeFrom="page">
                  <wp14:pctHeight>0</wp14:pctHeight>
                </wp14:sizeRelV>
              </wp:anchor>
            </w:drawing>
          </mc:Choice>
          <mc:Fallback>
            <w:pict>
              <v:rect id="_x0000_s1031" style="position:absolute;margin-left:205.15pt;margin-top:0;width:256.35pt;height:162.95pt;flip:x;z-index:251665408;visibility:visible;mso-wrap-style:square;mso-width-percent:0;mso-height-percent:0;mso-top-percent:160;mso-wrap-distance-left:9pt;mso-wrap-distance-top:7.2pt;mso-wrap-distance-right:9pt;mso-wrap-distance-bottom:7.2pt;mso-position-horizontal:right;mso-position-horizontal-relative:margin;mso-position-vertical-relative:margin;mso-width-percent:0;mso-height-percent:0;mso-top-percent:16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" o:allowincell="f" fillcolor="white [3212]" strokecolor="gray [1629]" strokeweight="1.5pt">
                <v:shadow on="t" type="perspective" color="black" opacity="26214f" origin="-.5,-.5" offset=".74836mm,.74836mm" matrix="65864f,,,65864f"/>
                <v:textbox inset="21.6pt,21.6pt,21.6pt,21.6pt">
                  <w:txbxContent>
                    <w:p w:rsidR="00F42FD1" w:rsidRDefault="00F42FD1">
                      <w:pPr>
                        <w:rPr>
                          <w:color w:val="4F81BD" w:themeColor="accent1"/>
                          <w:sz w:val="20"/>
                          <w:szCs w:val="20"/>
                        </w:rPr>
                      </w:pPr>
                      <w:r>
                        <w:rPr>
                          <w:noProof/>
                          <w:color w:val="4F81BD" w:themeColor="accent1"/>
                          <w:sz w:val="20"/>
                          <w:szCs w:val="20"/>
                        </w:rPr>
                        <w:drawing>
                          <wp:inline distT="0" distB="0" distL="0" distR="0" wp14:anchorId="092FA9BB" wp14:editId="048F1340">
                            <wp:extent cx="2714933" cy="1527349"/>
                            <wp:effectExtent l="0" t="0" r="0" b="0"/>
                            <wp:docPr id="29" name="Picture 29" descr="C:\Users\amrhej\Pictures\Mineral Point and Sudan Br (2015)\Mineral Pt Br - N Oak Park 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rhej\Pictures\Mineral Point and Sudan Br (2015)\Mineral Pt Br - N Oak Park Rd.jpg"/>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733804" cy="1537965"/>
                                    </a:xfrm>
                                    <a:prstGeom prst="rect">
                                      <a:avLst/>
                                    </a:prstGeom>
                                    <a:noFill/>
                                    <a:ln>
                                      <a:noFill/>
                                    </a:ln>
                                  </pic:spPr>
                                </pic:pic>
                              </a:graphicData>
                            </a:graphic>
                          </wp:inline>
                        </w:drawing>
                      </w:r>
                    </w:p>
                  </w:txbxContent>
                </v:textbox>
                <w10:wrap type="square" anchorx="margin" anchory="margin"/>
              </v:rect>
            </w:pict>
          </mc:Fallback>
        </mc:AlternateContent>
      </w:r>
      <w:r w:rsidR="00DC2455">
        <w:t xml:space="preserve">Growing season phosphorus concentrations were analyzed for two sites on Mineral Point Branch – North Oak Park Road and at CTH O.  The site at North Oak Park Road was chosen because it is upstream of the confluence with Sudan Branch.  </w:t>
      </w:r>
      <w:r w:rsidR="008A60DF">
        <w:t>Biologists noted that the concentrations of phosphorus at this site may have been influenced by the amount of cattle activity immediately above the sampling site on any given day (</w:t>
      </w:r>
      <w:r w:rsidR="00D12DE2" w:rsidRPr="00F42FD1">
        <w:t>See figure at righ</w:t>
      </w:r>
      <w:r w:rsidR="001E0CFD" w:rsidRPr="00F42FD1">
        <w:t>t</w:t>
      </w:r>
      <w:r w:rsidRPr="00F42FD1">
        <w:t>)</w:t>
      </w:r>
      <w:r w:rsidR="008A60DF" w:rsidRPr="00F42FD1">
        <w:t>.</w:t>
      </w:r>
      <w:r w:rsidR="008A60DF">
        <w:t xml:space="preserve">  T</w:t>
      </w:r>
      <w:r w:rsidR="00DC2455">
        <w:t>he CTH O site was chosen because it is below the confluence of Sudan Branch and other tributaries and represents the pour point of this watershed.  It also had data collected in 2009 and 2010 so the 2015 data can be used for temporal comparison sake.  As was shown in Table 3, median and mean phosphorus concentrations were almost identical for both sites.</w:t>
      </w:r>
      <w:r w:rsidR="008A60DF">
        <w:t xml:space="preserve">  </w:t>
      </w:r>
      <w:r w:rsidR="005A5255">
        <w:t xml:space="preserve">Save for 1 sample, all concentrations were at or above the state’s water quality criteria of 0.075 mg/l.  The entire length of Mineral Point Branch was added to the state’s 303(d) list of impaired waters because of phosphorus in 2014. </w:t>
      </w:r>
    </w:p>
    <w:p w:rsidR="00C906FF" w:rsidRDefault="00C906FF" w:rsidP="008530DB"/>
    <w:p w:rsidR="00DC2455" w:rsidRDefault="005A5255" w:rsidP="008530DB">
      <w:r>
        <w:t xml:space="preserve">A comparison of the 2009/10 data with the more current data shows mean and median concentrations were higher in 2009/10 (Table </w:t>
      </w:r>
      <w:r w:rsidR="00F814AD">
        <w:t>7</w:t>
      </w:r>
      <w:r>
        <w:t>)</w:t>
      </w:r>
      <w:r w:rsidR="00D12DE2">
        <w:t xml:space="preserve"> but not statistically different (p = 0.05)</w:t>
      </w:r>
      <w:r>
        <w:t xml:space="preserve">.  </w:t>
      </w:r>
    </w:p>
    <w:p w:rsidR="00DC2455" w:rsidRDefault="00DC2455" w:rsidP="008530DB"/>
    <w:p w:rsidR="005A5255" w:rsidRPr="00F814AD" w:rsidRDefault="005A5255" w:rsidP="00F814AD">
      <w:pPr>
        <w:ind w:left="-90" w:firstLine="90"/>
        <w:rPr>
          <w:sz w:val="20"/>
          <w:szCs w:val="20"/>
        </w:rPr>
      </w:pPr>
      <w:r w:rsidRPr="00787DAB">
        <w:rPr>
          <w:b/>
        </w:rPr>
        <w:t xml:space="preserve">Table </w:t>
      </w:r>
      <w:r w:rsidR="00F814AD">
        <w:rPr>
          <w:b/>
        </w:rPr>
        <w:t>7</w:t>
      </w:r>
      <w:r>
        <w:t xml:space="preserve">:  </w:t>
      </w:r>
      <w:r w:rsidRPr="00F814AD">
        <w:rPr>
          <w:sz w:val="20"/>
          <w:szCs w:val="20"/>
        </w:rPr>
        <w:t xml:space="preserve">Comparison of Total </w:t>
      </w:r>
      <w:r w:rsidR="00BA4141" w:rsidRPr="00F814AD">
        <w:rPr>
          <w:sz w:val="20"/>
          <w:szCs w:val="20"/>
        </w:rPr>
        <w:t>Phosphorus</w:t>
      </w:r>
      <w:r w:rsidRPr="00F814AD">
        <w:rPr>
          <w:sz w:val="20"/>
          <w:szCs w:val="20"/>
        </w:rPr>
        <w:t xml:space="preserve"> Concentration in Mineral Point Branch at CTH O</w:t>
      </w:r>
    </w:p>
    <w:tbl>
      <w:tblPr>
        <w:tblStyle w:val="TableGrid"/>
        <w:tblW w:w="0" w:type="auto"/>
        <w:tblLook w:val="04A0" w:firstRow="1" w:lastRow="0" w:firstColumn="1" w:lastColumn="0" w:noHBand="0" w:noVBand="1"/>
      </w:tblPr>
      <w:tblGrid>
        <w:gridCol w:w="2936"/>
        <w:gridCol w:w="2937"/>
        <w:gridCol w:w="2558"/>
      </w:tblGrid>
      <w:tr w:rsidR="005A5255" w:rsidTr="00C906FF">
        <w:tc>
          <w:tcPr>
            <w:tcW w:w="2952" w:type="dxa"/>
          </w:tcPr>
          <w:p w:rsidR="005A5255" w:rsidRPr="00C906FF" w:rsidRDefault="00C906FF" w:rsidP="00C906FF">
            <w:pPr>
              <w:jc w:val="center"/>
              <w:rPr>
                <w:b/>
              </w:rPr>
            </w:pPr>
            <w:r w:rsidRPr="00C906FF">
              <w:rPr>
                <w:b/>
              </w:rPr>
              <w:t>Month</w:t>
            </w:r>
          </w:p>
        </w:tc>
        <w:tc>
          <w:tcPr>
            <w:tcW w:w="2952" w:type="dxa"/>
          </w:tcPr>
          <w:p w:rsidR="005A5255" w:rsidRPr="00C906FF" w:rsidRDefault="00C906FF" w:rsidP="00C906FF">
            <w:pPr>
              <w:jc w:val="center"/>
              <w:rPr>
                <w:b/>
              </w:rPr>
            </w:pPr>
            <w:r w:rsidRPr="00C906FF">
              <w:rPr>
                <w:b/>
              </w:rPr>
              <w:t>2009/2010</w:t>
            </w:r>
          </w:p>
        </w:tc>
        <w:tc>
          <w:tcPr>
            <w:tcW w:w="2574" w:type="dxa"/>
          </w:tcPr>
          <w:p w:rsidR="005A5255" w:rsidRPr="00C906FF" w:rsidRDefault="00C906FF" w:rsidP="00C906FF">
            <w:pPr>
              <w:jc w:val="center"/>
              <w:rPr>
                <w:b/>
              </w:rPr>
            </w:pPr>
            <w:r w:rsidRPr="00C906FF">
              <w:rPr>
                <w:b/>
              </w:rPr>
              <w:t>2015</w:t>
            </w:r>
          </w:p>
        </w:tc>
      </w:tr>
      <w:tr w:rsidR="005A5255" w:rsidTr="00C906FF">
        <w:tc>
          <w:tcPr>
            <w:tcW w:w="2952" w:type="dxa"/>
          </w:tcPr>
          <w:p w:rsidR="005A5255" w:rsidRDefault="00C906FF" w:rsidP="00C906FF">
            <w:pPr>
              <w:jc w:val="center"/>
            </w:pPr>
            <w:r>
              <w:t>May</w:t>
            </w:r>
          </w:p>
        </w:tc>
        <w:tc>
          <w:tcPr>
            <w:tcW w:w="2952" w:type="dxa"/>
          </w:tcPr>
          <w:p w:rsidR="005A5255" w:rsidRDefault="00C906FF" w:rsidP="00C906FF">
            <w:pPr>
              <w:jc w:val="center"/>
            </w:pPr>
            <w:r>
              <w:t>0.114</w:t>
            </w:r>
          </w:p>
        </w:tc>
        <w:tc>
          <w:tcPr>
            <w:tcW w:w="2574" w:type="dxa"/>
          </w:tcPr>
          <w:p w:rsidR="005A5255" w:rsidRDefault="00C906FF" w:rsidP="00C906FF">
            <w:pPr>
              <w:jc w:val="center"/>
            </w:pPr>
            <w:r>
              <w:t>0.102</w:t>
            </w:r>
          </w:p>
        </w:tc>
      </w:tr>
      <w:tr w:rsidR="005A5255" w:rsidTr="00C906FF">
        <w:tc>
          <w:tcPr>
            <w:tcW w:w="2952" w:type="dxa"/>
          </w:tcPr>
          <w:p w:rsidR="005A5255" w:rsidRDefault="00C906FF" w:rsidP="00C906FF">
            <w:pPr>
              <w:jc w:val="center"/>
            </w:pPr>
            <w:r>
              <w:t>June</w:t>
            </w:r>
          </w:p>
        </w:tc>
        <w:tc>
          <w:tcPr>
            <w:tcW w:w="2952" w:type="dxa"/>
          </w:tcPr>
          <w:p w:rsidR="005A5255" w:rsidRDefault="00C906FF" w:rsidP="00C906FF">
            <w:pPr>
              <w:jc w:val="center"/>
            </w:pPr>
            <w:r>
              <w:t>0.195</w:t>
            </w:r>
          </w:p>
        </w:tc>
        <w:tc>
          <w:tcPr>
            <w:tcW w:w="2574" w:type="dxa"/>
          </w:tcPr>
          <w:p w:rsidR="005A5255" w:rsidRDefault="00C906FF" w:rsidP="00C906FF">
            <w:pPr>
              <w:jc w:val="center"/>
            </w:pPr>
            <w:r>
              <w:t>0.180</w:t>
            </w:r>
          </w:p>
        </w:tc>
      </w:tr>
      <w:tr w:rsidR="005A5255" w:rsidTr="00C906FF">
        <w:tc>
          <w:tcPr>
            <w:tcW w:w="2952" w:type="dxa"/>
          </w:tcPr>
          <w:p w:rsidR="005A5255" w:rsidRDefault="00C906FF" w:rsidP="00C906FF">
            <w:pPr>
              <w:jc w:val="center"/>
            </w:pPr>
            <w:r>
              <w:t>July</w:t>
            </w:r>
          </w:p>
        </w:tc>
        <w:tc>
          <w:tcPr>
            <w:tcW w:w="2952" w:type="dxa"/>
          </w:tcPr>
          <w:p w:rsidR="005A5255" w:rsidRDefault="00C906FF" w:rsidP="00C906FF">
            <w:pPr>
              <w:jc w:val="center"/>
            </w:pPr>
            <w:r>
              <w:t>0.193</w:t>
            </w:r>
          </w:p>
        </w:tc>
        <w:tc>
          <w:tcPr>
            <w:tcW w:w="2574" w:type="dxa"/>
          </w:tcPr>
          <w:p w:rsidR="005A5255" w:rsidRDefault="00C906FF" w:rsidP="00C906FF">
            <w:pPr>
              <w:jc w:val="center"/>
            </w:pPr>
            <w:r>
              <w:t>0.137</w:t>
            </w:r>
          </w:p>
        </w:tc>
      </w:tr>
      <w:tr w:rsidR="005A5255" w:rsidTr="00C906FF">
        <w:tc>
          <w:tcPr>
            <w:tcW w:w="2952" w:type="dxa"/>
          </w:tcPr>
          <w:p w:rsidR="005A5255" w:rsidRDefault="00C906FF" w:rsidP="00C906FF">
            <w:pPr>
              <w:jc w:val="center"/>
            </w:pPr>
            <w:r>
              <w:t>August</w:t>
            </w:r>
          </w:p>
        </w:tc>
        <w:tc>
          <w:tcPr>
            <w:tcW w:w="2952" w:type="dxa"/>
          </w:tcPr>
          <w:p w:rsidR="005A5255" w:rsidRDefault="00C906FF" w:rsidP="00C906FF">
            <w:pPr>
              <w:jc w:val="center"/>
            </w:pPr>
            <w:r>
              <w:t>0.199</w:t>
            </w:r>
          </w:p>
        </w:tc>
        <w:tc>
          <w:tcPr>
            <w:tcW w:w="2574" w:type="dxa"/>
          </w:tcPr>
          <w:p w:rsidR="005A5255" w:rsidRDefault="00C906FF" w:rsidP="00C906FF">
            <w:pPr>
              <w:jc w:val="center"/>
            </w:pPr>
            <w:r>
              <w:t>0.119</w:t>
            </w:r>
          </w:p>
        </w:tc>
      </w:tr>
      <w:tr w:rsidR="005A5255" w:rsidTr="00C906FF">
        <w:tc>
          <w:tcPr>
            <w:tcW w:w="2952" w:type="dxa"/>
          </w:tcPr>
          <w:p w:rsidR="005A5255" w:rsidRDefault="00C906FF" w:rsidP="00C906FF">
            <w:pPr>
              <w:jc w:val="center"/>
            </w:pPr>
            <w:r>
              <w:t>September</w:t>
            </w:r>
          </w:p>
        </w:tc>
        <w:tc>
          <w:tcPr>
            <w:tcW w:w="2952" w:type="dxa"/>
          </w:tcPr>
          <w:p w:rsidR="005A5255" w:rsidRDefault="00C906FF" w:rsidP="00C906FF">
            <w:pPr>
              <w:jc w:val="center"/>
            </w:pPr>
            <w:r>
              <w:t>0.072</w:t>
            </w:r>
          </w:p>
        </w:tc>
        <w:tc>
          <w:tcPr>
            <w:tcW w:w="2574" w:type="dxa"/>
          </w:tcPr>
          <w:p w:rsidR="005A5255" w:rsidRDefault="00C906FF" w:rsidP="00C906FF">
            <w:pPr>
              <w:jc w:val="center"/>
            </w:pPr>
            <w:r>
              <w:t>0.075</w:t>
            </w:r>
          </w:p>
        </w:tc>
      </w:tr>
      <w:tr w:rsidR="005A5255" w:rsidTr="00C906FF">
        <w:tc>
          <w:tcPr>
            <w:tcW w:w="2952" w:type="dxa"/>
            <w:tcBorders>
              <w:bottom w:val="double" w:sz="4" w:space="0" w:color="auto"/>
            </w:tcBorders>
          </w:tcPr>
          <w:p w:rsidR="005A5255" w:rsidRDefault="00C906FF" w:rsidP="00C906FF">
            <w:pPr>
              <w:jc w:val="center"/>
            </w:pPr>
            <w:r>
              <w:t>October</w:t>
            </w:r>
          </w:p>
        </w:tc>
        <w:tc>
          <w:tcPr>
            <w:tcW w:w="2952" w:type="dxa"/>
            <w:tcBorders>
              <w:bottom w:val="double" w:sz="4" w:space="0" w:color="auto"/>
            </w:tcBorders>
          </w:tcPr>
          <w:p w:rsidR="005A5255" w:rsidRDefault="00C906FF" w:rsidP="00C906FF">
            <w:pPr>
              <w:jc w:val="center"/>
            </w:pPr>
            <w:r>
              <w:t>0.063</w:t>
            </w:r>
          </w:p>
        </w:tc>
        <w:tc>
          <w:tcPr>
            <w:tcW w:w="2574" w:type="dxa"/>
            <w:tcBorders>
              <w:bottom w:val="double" w:sz="4" w:space="0" w:color="auto"/>
            </w:tcBorders>
          </w:tcPr>
          <w:p w:rsidR="005A5255" w:rsidRDefault="00C906FF" w:rsidP="00C906FF">
            <w:pPr>
              <w:jc w:val="center"/>
            </w:pPr>
            <w:r>
              <w:t>0.055</w:t>
            </w:r>
          </w:p>
        </w:tc>
      </w:tr>
      <w:tr w:rsidR="005A5255" w:rsidTr="00C906FF">
        <w:tc>
          <w:tcPr>
            <w:tcW w:w="2952" w:type="dxa"/>
            <w:tcBorders>
              <w:top w:val="double" w:sz="4" w:space="0" w:color="auto"/>
              <w:left w:val="single" w:sz="12" w:space="0" w:color="auto"/>
              <w:bottom w:val="single" w:sz="12" w:space="0" w:color="auto"/>
            </w:tcBorders>
          </w:tcPr>
          <w:p w:rsidR="005A5255" w:rsidRDefault="00C906FF" w:rsidP="00C906FF">
            <w:pPr>
              <w:jc w:val="center"/>
            </w:pPr>
            <w:r>
              <w:t>Average</w:t>
            </w:r>
          </w:p>
        </w:tc>
        <w:tc>
          <w:tcPr>
            <w:tcW w:w="2952" w:type="dxa"/>
            <w:tcBorders>
              <w:top w:val="double" w:sz="4" w:space="0" w:color="auto"/>
              <w:bottom w:val="single" w:sz="12" w:space="0" w:color="auto"/>
            </w:tcBorders>
          </w:tcPr>
          <w:p w:rsidR="005A5255" w:rsidRDefault="00C906FF" w:rsidP="00C906FF">
            <w:pPr>
              <w:jc w:val="center"/>
            </w:pPr>
            <w:r>
              <w:t>0.139</w:t>
            </w:r>
          </w:p>
        </w:tc>
        <w:tc>
          <w:tcPr>
            <w:tcW w:w="2574" w:type="dxa"/>
            <w:tcBorders>
              <w:top w:val="double" w:sz="4" w:space="0" w:color="auto"/>
              <w:bottom w:val="single" w:sz="12" w:space="0" w:color="auto"/>
              <w:right w:val="single" w:sz="12" w:space="0" w:color="auto"/>
            </w:tcBorders>
          </w:tcPr>
          <w:p w:rsidR="005A5255" w:rsidRDefault="00C906FF" w:rsidP="00C906FF">
            <w:pPr>
              <w:jc w:val="center"/>
            </w:pPr>
            <w:r>
              <w:t>0.111</w:t>
            </w:r>
          </w:p>
        </w:tc>
      </w:tr>
      <w:tr w:rsidR="00C906FF" w:rsidTr="00C906FF">
        <w:tc>
          <w:tcPr>
            <w:tcW w:w="2952" w:type="dxa"/>
            <w:tcBorders>
              <w:top w:val="single" w:sz="12" w:space="0" w:color="auto"/>
              <w:left w:val="single" w:sz="12" w:space="0" w:color="auto"/>
              <w:bottom w:val="single" w:sz="12" w:space="0" w:color="auto"/>
            </w:tcBorders>
          </w:tcPr>
          <w:p w:rsidR="00C906FF" w:rsidRDefault="00C906FF" w:rsidP="00C906FF">
            <w:pPr>
              <w:jc w:val="center"/>
            </w:pPr>
            <w:r>
              <w:t>Median</w:t>
            </w:r>
          </w:p>
        </w:tc>
        <w:tc>
          <w:tcPr>
            <w:tcW w:w="2952" w:type="dxa"/>
            <w:tcBorders>
              <w:top w:val="single" w:sz="12" w:space="0" w:color="auto"/>
              <w:bottom w:val="single" w:sz="12" w:space="0" w:color="auto"/>
            </w:tcBorders>
          </w:tcPr>
          <w:p w:rsidR="00C906FF" w:rsidRDefault="00C906FF" w:rsidP="00C906FF">
            <w:pPr>
              <w:jc w:val="center"/>
            </w:pPr>
            <w:r>
              <w:t>0.154</w:t>
            </w:r>
          </w:p>
        </w:tc>
        <w:tc>
          <w:tcPr>
            <w:tcW w:w="2574" w:type="dxa"/>
            <w:tcBorders>
              <w:top w:val="single" w:sz="12" w:space="0" w:color="auto"/>
              <w:bottom w:val="single" w:sz="12" w:space="0" w:color="auto"/>
              <w:right w:val="single" w:sz="12" w:space="0" w:color="auto"/>
            </w:tcBorders>
          </w:tcPr>
          <w:p w:rsidR="00C906FF" w:rsidRDefault="00C906FF" w:rsidP="00C906FF">
            <w:pPr>
              <w:jc w:val="center"/>
            </w:pPr>
            <w:r>
              <w:t>0.111</w:t>
            </w:r>
          </w:p>
        </w:tc>
      </w:tr>
    </w:tbl>
    <w:p w:rsidR="005A5255" w:rsidRDefault="005A5255" w:rsidP="008530DB"/>
    <w:p w:rsidR="000458CB" w:rsidRPr="00E56E1C" w:rsidRDefault="0006103D" w:rsidP="008530DB">
      <w:pPr>
        <w:rPr>
          <w:b/>
        </w:rPr>
      </w:pPr>
      <w:r>
        <w:t>Diatom data was not available at the time of this report.</w:t>
      </w:r>
    </w:p>
    <w:p w:rsidR="005A5255" w:rsidRDefault="005A5255" w:rsidP="008530DB"/>
    <w:p w:rsidR="00AF32E0" w:rsidRPr="00780CFE" w:rsidRDefault="00AF32E0" w:rsidP="008530DB">
      <w:pPr>
        <w:rPr>
          <w:i/>
        </w:rPr>
      </w:pPr>
      <w:r w:rsidRPr="00780CFE">
        <w:rPr>
          <w:i/>
        </w:rPr>
        <w:t>Conclusion and Recommendations</w:t>
      </w:r>
    </w:p>
    <w:p w:rsidR="00AF32E0" w:rsidRDefault="00AF32E0" w:rsidP="008530DB">
      <w:r>
        <w:t xml:space="preserve">Streams of the Mineral Point and Sudan Branches watershed are in good condition from a fisheries standpoint.  The mainstems of Sudan Branch and especially Mineral </w:t>
      </w:r>
      <w:r>
        <w:lastRenderedPageBreak/>
        <w:t>Point Branch contain a variety of species and can provide</w:t>
      </w:r>
      <w:r w:rsidR="001E0CFD">
        <w:t xml:space="preserve"> a reasonable angling opportunity.</w:t>
      </w:r>
    </w:p>
    <w:p w:rsidR="00AF32E0" w:rsidRDefault="00AF32E0" w:rsidP="008530DB"/>
    <w:p w:rsidR="0029532E" w:rsidRDefault="0029532E" w:rsidP="0029532E">
      <w:r>
        <w:t xml:space="preserve">There are impacts from nonpoint source pollution as evidenced by </w:t>
      </w:r>
      <w:r w:rsidR="005D5CF5">
        <w:t xml:space="preserve">macroinvertebrate IBIs and </w:t>
      </w:r>
      <w:r>
        <w:t>the habitat scores.  These impacts are most notable in the bank erosion which has exacerbated the widening of streams and led to a depressed width-to-depth ratio score and rating.  Managed grazing</w:t>
      </w:r>
      <w:r w:rsidR="009617F0">
        <w:t xml:space="preserve"> (appropriate numbers of livestock for the acreage), rotational grazing, </w:t>
      </w:r>
      <w:r w:rsidR="001E392B">
        <w:t xml:space="preserve">and stream crossings </w:t>
      </w:r>
      <w:r>
        <w:t xml:space="preserve">should be employed in the riparian corridors to help maintain sod cover and help mitigate bank erosion and trampling.  This would help reduce the rate of stream widening.  In areas that are row cropped, buffers, cover crops, no-till farming </w:t>
      </w:r>
      <w:r w:rsidR="00780CFE">
        <w:t xml:space="preserve">and implementation of nutrient management plans </w:t>
      </w:r>
      <w:r>
        <w:t>would help reduce bank erosion and runoff of sediment and nutrients to the systems.</w:t>
      </w:r>
    </w:p>
    <w:p w:rsidR="00780CFE" w:rsidRDefault="00780CFE" w:rsidP="0029532E"/>
    <w:p w:rsidR="005652B9" w:rsidRDefault="00780CFE" w:rsidP="008530DB">
      <w:r>
        <w:t>Total phosphorus exceeds the state criteria of 0.075 mg/l and thus Mineral Point Branch will remain on the state’s 303(d) list of impaired waters.  The aforementioned nonpoint source best management practices would also help reduce phosphorus delivery to the stream.</w:t>
      </w:r>
      <w:r w:rsidR="00CB369B">
        <w:t xml:space="preserve">  Fisheries management has several recommendations for Mineral Point Branch</w:t>
      </w:r>
      <w:r w:rsidR="00250D95">
        <w:t xml:space="preserve">: </w:t>
      </w:r>
      <w:r w:rsidR="00CB369B">
        <w:t>no stocking of fish, maintaining the current size regulations, develop projects which would provide more habitat for smallmouth bass, especially the creation of deep pools and runs to hold adults year round.  Below Ludden Lake specifically, fisheries management recommends looking at efforts to secure streambank easements.</w:t>
      </w:r>
      <w:r w:rsidR="00DB6EC4">
        <w:t xml:space="preserve">  </w:t>
      </w:r>
    </w:p>
    <w:p w:rsidR="00DB6EC4" w:rsidRDefault="00DB6EC4" w:rsidP="008530DB"/>
    <w:p w:rsidR="00AF32E0" w:rsidRDefault="00AF32E0" w:rsidP="008530DB">
      <w:r>
        <w:t>Fisheries management should</w:t>
      </w:r>
      <w:r w:rsidR="001E0CFD">
        <w:t xml:space="preserve"> determine the reason for lack of trout returns in the upper Sudan Branch and in Rock Branch and to determine if it is practical to continue stocking efforts on these two streams.</w:t>
      </w:r>
    </w:p>
    <w:p w:rsidR="001E0CFD" w:rsidRDefault="001E0CFD" w:rsidP="008530DB"/>
    <w:p w:rsidR="009617F0" w:rsidRDefault="002914CD" w:rsidP="008530DB">
      <w:r>
        <w:t xml:space="preserve">Fisheries management may want to consider the lower half of Laxey Creek as </w:t>
      </w:r>
      <w:proofErr w:type="gramStart"/>
      <w:r>
        <w:t>a managed</w:t>
      </w:r>
      <w:proofErr w:type="gramEnd"/>
      <w:r>
        <w:t xml:space="preserve"> smallmouth bass water (nursery stream) as it may be hospitable for some production of bass.</w:t>
      </w:r>
      <w:r w:rsidR="009617F0">
        <w:t xml:space="preserve">  </w:t>
      </w:r>
    </w:p>
    <w:p w:rsidR="009617F0" w:rsidRDefault="009617F0" w:rsidP="008530DB"/>
    <w:p w:rsidR="0029532E" w:rsidRDefault="0029532E" w:rsidP="008530DB">
      <w:r>
        <w:t xml:space="preserve">The department should seek opportunities to work collaboratively on projects which would benefit overall ecosystem health.  Such opportunities include working with the Southwest Grasslands </w:t>
      </w:r>
      <w:r w:rsidR="00912563">
        <w:t xml:space="preserve">and Stream </w:t>
      </w:r>
      <w:r>
        <w:t>Conservation</w:t>
      </w:r>
      <w:r w:rsidR="00912563">
        <w:t xml:space="preserve"> Area</w:t>
      </w:r>
      <w:r>
        <w:t xml:space="preserve"> and </w:t>
      </w:r>
      <w:r w:rsidR="00912563">
        <w:t xml:space="preserve">Southwest Grasslands </w:t>
      </w:r>
      <w:r>
        <w:t>Bird</w:t>
      </w:r>
      <w:r w:rsidR="00912563">
        <w:t xml:space="preserve"> Conservation Area</w:t>
      </w:r>
      <w:r>
        <w:t xml:space="preserve">.  The department should work with groups to identify areas which would </w:t>
      </w:r>
      <w:r w:rsidR="00912563">
        <w:t>overlap as a priority for these programs,</w:t>
      </w:r>
      <w:r>
        <w:t xml:space="preserve"> such as the upper Mineral Point watershed.</w:t>
      </w:r>
      <w:r w:rsidR="00250D95">
        <w:t xml:space="preserve">  These projects would also benefit Ludden Lake.</w:t>
      </w:r>
    </w:p>
    <w:p w:rsidR="001E0CFD" w:rsidRDefault="001E0CFD" w:rsidP="008530DB"/>
    <w:p w:rsidR="005652B9" w:rsidRDefault="005652B9" w:rsidP="005652B9">
      <w:r>
        <w:t>Ludden Lake should be added to the state’s 303(d) list of impaired waters because levels of total phosphorus and chlorophyll a exceed criteria and thresholds for shallow lowland lakes.  The department should seek the aforementioned opportunities to work with partners to decrease soil and nutrient loss in the watershed upstream of Ludden Lake in order to improve water clarity, enhance macrophyte growth, and maintain the depth of the lake system which has been de</w:t>
      </w:r>
      <w:r w:rsidR="00250D95">
        <w:t>creased over time due to sediment loads from upstream.</w:t>
      </w:r>
    </w:p>
    <w:p w:rsidR="00250D95" w:rsidRDefault="00250D95" w:rsidP="005652B9"/>
    <w:p w:rsidR="00250D95" w:rsidRDefault="00DB6EC4" w:rsidP="005652B9">
      <w:r>
        <w:t>The classification of Brewery Creek should be updated to reflect the biota using a contemporary classification system.</w:t>
      </w:r>
    </w:p>
    <w:p w:rsidR="005652B9" w:rsidRDefault="005652B9" w:rsidP="008530DB"/>
    <w:p w:rsidR="00DB6EC4" w:rsidRDefault="00DB6EC4" w:rsidP="00DB6EC4">
      <w:r>
        <w:lastRenderedPageBreak/>
        <w:t>The classification of Furnace Branch should be updated to reflect the current biota using a contemporary classification system.</w:t>
      </w:r>
    </w:p>
    <w:p w:rsidR="00DB6EC4" w:rsidRDefault="00DB6EC4" w:rsidP="008530DB"/>
    <w:p w:rsidR="00DB6EC4" w:rsidRDefault="00DB6EC4" w:rsidP="008530DB">
      <w:r>
        <w:t xml:space="preserve">The department should revise the classification of Laxey Creek to remove the variance section at the headwater.  </w:t>
      </w:r>
    </w:p>
    <w:p w:rsidR="00DB6EC4" w:rsidRDefault="00DB6EC4" w:rsidP="008530DB"/>
    <w:p w:rsidR="00DB6EC4" w:rsidRDefault="00DB6EC4" w:rsidP="008530DB">
      <w:r>
        <w:t>There are a number of perched culverts on the tributaries that feed the upper Mineral Point Branch along Survey Road.  The department should look for opportun</w:t>
      </w:r>
      <w:r w:rsidR="00BA4141">
        <w:t>it</w:t>
      </w:r>
      <w:r>
        <w:t>ies to work with the county and townships to properly replace these culverts.</w:t>
      </w:r>
    </w:p>
    <w:p w:rsidR="00DB6EC4" w:rsidRDefault="00DB6EC4" w:rsidP="008530DB"/>
    <w:p w:rsidR="00DB6EC4" w:rsidRDefault="00DB6EC4" w:rsidP="008530DB"/>
    <w:p w:rsidR="005652B9" w:rsidRDefault="005652B9" w:rsidP="008530DB"/>
    <w:p w:rsidR="001F2EFF" w:rsidRDefault="001F2EFF" w:rsidP="008530DB">
      <w:r>
        <w:t>******************************************************************</w:t>
      </w:r>
    </w:p>
    <w:p w:rsidR="001F2EFF" w:rsidRDefault="001F2EFF" w:rsidP="008530DB"/>
    <w:p w:rsidR="001B58F3" w:rsidRDefault="001B58F3"/>
    <w:p w:rsidR="00EC4802" w:rsidRDefault="00EC4802"/>
    <w:p w:rsidR="008512C2" w:rsidRDefault="008512C2">
      <w:r>
        <w:br w:type="page"/>
      </w:r>
    </w:p>
    <w:p w:rsidR="00D2753D" w:rsidRPr="00AA246C" w:rsidRDefault="00D2753D" w:rsidP="00D2753D">
      <w:pPr>
        <w:rPr>
          <w:i/>
        </w:rPr>
      </w:pPr>
      <w:r w:rsidRPr="00AA246C">
        <w:rPr>
          <w:i/>
        </w:rPr>
        <w:lastRenderedPageBreak/>
        <w:t>References</w:t>
      </w:r>
    </w:p>
    <w:p w:rsidR="00D2753D" w:rsidRDefault="00D2753D" w:rsidP="00D2753D"/>
    <w:p w:rsidR="00D2753D" w:rsidRDefault="00D2753D" w:rsidP="00D2753D">
      <w:pPr>
        <w:ind w:left="540" w:hanging="540"/>
      </w:pPr>
      <w:r>
        <w:t>Hilsenhoff, William L.  1987.  An Improved Biotic Index of Organic Stream Pollution.  The Great Lakes Entomologist.  20: 31-39.</w:t>
      </w:r>
    </w:p>
    <w:p w:rsidR="00D2753D" w:rsidRDefault="00D2753D" w:rsidP="00D2753D">
      <w:pPr>
        <w:ind w:left="540" w:hanging="540"/>
      </w:pPr>
    </w:p>
    <w:p w:rsidR="00D2753D" w:rsidRDefault="00D2753D" w:rsidP="00D2753D">
      <w:pPr>
        <w:ind w:left="540" w:hanging="540"/>
      </w:pPr>
      <w:r w:rsidRPr="003B7F86">
        <w:t>Lyons, John.  1992.  Using the Index of Biotic Integrity (IBI) to Measure Environmental Quality in Warmwater Streams of Wisconsin.  United States Department of Agriculture.  General Technical Report NC-149.</w:t>
      </w:r>
      <w:r>
        <w:t xml:space="preserve">  </w:t>
      </w:r>
    </w:p>
    <w:p w:rsidR="00D2753D" w:rsidRDefault="00D2753D" w:rsidP="00D2753D">
      <w:pPr>
        <w:ind w:left="540" w:hanging="540"/>
      </w:pPr>
    </w:p>
    <w:p w:rsidR="00D2753D" w:rsidRDefault="00D2753D" w:rsidP="00D2753D">
      <w:pPr>
        <w:ind w:left="540" w:hanging="540"/>
      </w:pPr>
      <w:r w:rsidRPr="00D62378">
        <w:t>Lyons, John.  2006.  A Fish-based Index of Biotic Integrity to Assess Intermittent Headwater Streams in Wisconsin, USA.  Environmental Monitoring and Assessment 122: 239-258.</w:t>
      </w:r>
    </w:p>
    <w:p w:rsidR="00D2753D" w:rsidRDefault="00D2753D" w:rsidP="00D2753D">
      <w:pPr>
        <w:ind w:left="540" w:hanging="540"/>
      </w:pPr>
    </w:p>
    <w:p w:rsidR="00D2753D" w:rsidRDefault="00D2753D" w:rsidP="00D2753D">
      <w:pPr>
        <w:ind w:left="540" w:hanging="540"/>
      </w:pPr>
      <w:r>
        <w:t>Lyons, John.  2008.  Using the Wisconsin Stream Model to Estimate the Potential Natural Community of Wisconsin Streams (DRAFT).  Wisconsin Department of Natural Resources Fish and Aquatic Life Research Section.  November, 2008.</w:t>
      </w:r>
    </w:p>
    <w:p w:rsidR="00D2753D" w:rsidRDefault="00D2753D" w:rsidP="00D2753D">
      <w:pPr>
        <w:ind w:left="540" w:hanging="540"/>
      </w:pPr>
    </w:p>
    <w:p w:rsidR="00D2753D" w:rsidRDefault="00D2753D" w:rsidP="00D2753D">
      <w:pPr>
        <w:ind w:left="540" w:hanging="540"/>
      </w:pPr>
      <w:r>
        <w:t>Lyons, John.  T. Zorn, J. Stewart, P Seelbach, K Wehrly, and L. Wang.  2009.  Defining and Characterizing Coolwater Streams and Their Fish Assemblages in Michigan and Wisconsin, USA.  North American Journal of Fisheries Management.  29:1130-1151.</w:t>
      </w:r>
    </w:p>
    <w:p w:rsidR="00D2753D" w:rsidRDefault="00D2753D" w:rsidP="00D2753D">
      <w:pPr>
        <w:ind w:left="540" w:hanging="540"/>
      </w:pPr>
    </w:p>
    <w:p w:rsidR="00D2753D" w:rsidRDefault="00D2753D" w:rsidP="00D2753D">
      <w:pPr>
        <w:ind w:left="540" w:hanging="540"/>
      </w:pPr>
      <w:r>
        <w:t>Lyons, John.  2012.  Development and Validation of Two Fish-based Indices of Biotic Integrity for Assessing Perennial Coolwater Streams In Wisconsin, USA.  Ecological Indicators 23 (2012) 402-412.</w:t>
      </w:r>
    </w:p>
    <w:p w:rsidR="00D2753D" w:rsidRDefault="00D2753D" w:rsidP="00D2753D">
      <w:pPr>
        <w:ind w:left="540" w:hanging="540"/>
      </w:pPr>
    </w:p>
    <w:p w:rsidR="00D2753D" w:rsidRDefault="00D2753D" w:rsidP="00D2753D">
      <w:pPr>
        <w:ind w:left="540" w:hanging="540"/>
      </w:pPr>
      <w:r>
        <w:t>Lyons, John.  2013.  Methodology for Using Field Data to Identify and Correct Wisconsin Stream “Natural Community” Misclassifications.  Version 4.  May 16, 2013.  IN DRAFT.</w:t>
      </w:r>
    </w:p>
    <w:p w:rsidR="00D2753D" w:rsidRDefault="00D2753D" w:rsidP="00D2753D">
      <w:pPr>
        <w:ind w:left="540" w:hanging="540"/>
      </w:pPr>
    </w:p>
    <w:p w:rsidR="00D2753D" w:rsidRDefault="00D2753D" w:rsidP="00D2753D">
      <w:pPr>
        <w:ind w:left="540" w:hanging="540"/>
      </w:pPr>
      <w:r>
        <w:t>Simonson, Timothy D., J. Lyons, and P.D. Kanehl.  1994.  Guidelines for Evaluating Fish Habitat in Wisconsin Streams.  U.S. Department of Agriculture.  Forest Service.  General Technical Report NC-164.</w:t>
      </w:r>
    </w:p>
    <w:p w:rsidR="00D2753D" w:rsidRDefault="00D2753D" w:rsidP="00D2753D">
      <w:pPr>
        <w:ind w:left="540" w:hanging="540"/>
      </w:pPr>
    </w:p>
    <w:p w:rsidR="008724D8" w:rsidRDefault="008724D8" w:rsidP="00D2753D">
      <w:pPr>
        <w:ind w:left="540" w:hanging="540"/>
      </w:pPr>
      <w:r>
        <w:t xml:space="preserve">Sims, Bradd.  2013.  Ludden Lake, Iowa County.  2013 Comprehensive Fisheries Survey.  </w:t>
      </w:r>
      <w:r w:rsidR="00AA246C">
        <w:t xml:space="preserve">Wisconsin Department of Natural Resources.  </w:t>
      </w:r>
      <w:r>
        <w:t>December, 2013.</w:t>
      </w:r>
    </w:p>
    <w:p w:rsidR="008724D8" w:rsidRDefault="008724D8" w:rsidP="00D2753D">
      <w:pPr>
        <w:ind w:left="540" w:hanging="540"/>
      </w:pPr>
    </w:p>
    <w:p w:rsidR="00D2753D" w:rsidRDefault="00D2753D" w:rsidP="00D2753D">
      <w:pPr>
        <w:ind w:left="540" w:hanging="540"/>
      </w:pPr>
      <w:r w:rsidRPr="000979D4">
        <w:t>WDNR.  200</w:t>
      </w:r>
      <w:r>
        <w:t>3</w:t>
      </w:r>
      <w:r w:rsidRPr="000979D4">
        <w:t xml:space="preserve">.  The State of the </w:t>
      </w:r>
      <w:r>
        <w:t>Sugar and Pecatonica River</w:t>
      </w:r>
      <w:r w:rsidRPr="000979D4">
        <w:t xml:space="preserve"> Basins.  Wisconsin Department of Natural Resources.  </w:t>
      </w:r>
    </w:p>
    <w:p w:rsidR="00660EA3" w:rsidRDefault="00660EA3" w:rsidP="00D2753D">
      <w:pPr>
        <w:ind w:left="540" w:hanging="540"/>
      </w:pPr>
    </w:p>
    <w:p w:rsidR="00D2753D" w:rsidRDefault="00D2753D" w:rsidP="00D2753D">
      <w:pPr>
        <w:ind w:left="540" w:hanging="540"/>
      </w:pPr>
      <w:r>
        <w:t>WDNR.  2013.  Wisconsin 2014 Consolidated Assessment and Listing Methodology (WisCALM).  Clean Water Act Section 305(b), 314, and 303(d) Integrated Reporting.  Wisconsin Department of Natural Resources.  Bureau of Water Quality Program Guidance. September, 2013.</w:t>
      </w:r>
    </w:p>
    <w:p w:rsidR="00660EA3" w:rsidRDefault="00660EA3" w:rsidP="00660EA3"/>
    <w:p w:rsidR="00D2753D" w:rsidRDefault="00D2753D" w:rsidP="00D2753D">
      <w:pPr>
        <w:ind w:left="540" w:hanging="540"/>
      </w:pPr>
      <w:r>
        <w:t>Weigel, Brian.  2003.  Development of Stream Macroinvertebrate Models That Predict Watershed and Local Stressors in Wisconsin.  Journal of the North American Benthological Society.  22(1): 123-142.</w:t>
      </w:r>
    </w:p>
    <w:p w:rsidR="002F75E8" w:rsidRDefault="009D4EB7">
      <w:r>
        <w:br w:type="page"/>
      </w:r>
    </w:p>
    <w:p w:rsidR="004B13DB" w:rsidRDefault="002F75E8">
      <w:pPr>
        <w:rPr>
          <w:sz w:val="22"/>
          <w:szCs w:val="22"/>
        </w:rPr>
      </w:pPr>
      <w:r w:rsidRPr="002F75E8">
        <w:rPr>
          <w:b/>
        </w:rPr>
        <w:lastRenderedPageBreak/>
        <w:t xml:space="preserve">Appendix </w:t>
      </w:r>
      <w:r w:rsidR="009617F0">
        <w:rPr>
          <w:b/>
        </w:rPr>
        <w:t>1</w:t>
      </w:r>
      <w:r>
        <w:t xml:space="preserve">: </w:t>
      </w:r>
      <w:r w:rsidRPr="002F75E8">
        <w:rPr>
          <w:sz w:val="22"/>
          <w:szCs w:val="22"/>
        </w:rPr>
        <w:t>Temperature monitoring of the Mineral Point and Sudan Branches Watershed</w:t>
      </w:r>
    </w:p>
    <w:p w:rsidR="00CA27D1" w:rsidRDefault="00CA27D1">
      <w:pPr>
        <w:rPr>
          <w:sz w:val="22"/>
          <w:szCs w:val="22"/>
        </w:rPr>
      </w:pPr>
    </w:p>
    <w:p w:rsidR="002F75E8" w:rsidRDefault="00CA27D1">
      <w:r>
        <w:rPr>
          <w:noProof/>
        </w:rPr>
        <w:drawing>
          <wp:inline distT="0" distB="0" distL="0" distR="0" wp14:anchorId="00CF152D" wp14:editId="236C0078">
            <wp:extent cx="5024176" cy="3647967"/>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29927" cy="3652142"/>
                    </a:xfrm>
                    <a:prstGeom prst="rect">
                      <a:avLst/>
                    </a:prstGeom>
                    <a:noFill/>
                  </pic:spPr>
                </pic:pic>
              </a:graphicData>
            </a:graphic>
          </wp:inline>
        </w:drawing>
      </w:r>
    </w:p>
    <w:p w:rsidR="00CA27D1" w:rsidRDefault="00CA27D1"/>
    <w:p w:rsidR="00CA27D1" w:rsidRDefault="00CA27D1"/>
    <w:p w:rsidR="00CA27D1" w:rsidRDefault="00CA27D1"/>
    <w:p w:rsidR="00CA27D1" w:rsidRDefault="00CA27D1">
      <w:r>
        <w:rPr>
          <w:noProof/>
        </w:rPr>
        <w:drawing>
          <wp:inline distT="0" distB="0" distL="0" distR="0" wp14:anchorId="015ABA04" wp14:editId="109ECFD6">
            <wp:extent cx="5078959" cy="3687745"/>
            <wp:effectExtent l="0" t="0" r="762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92197" cy="3697357"/>
                    </a:xfrm>
                    <a:prstGeom prst="rect">
                      <a:avLst/>
                    </a:prstGeom>
                    <a:noFill/>
                  </pic:spPr>
                </pic:pic>
              </a:graphicData>
            </a:graphic>
          </wp:inline>
        </w:drawing>
      </w:r>
    </w:p>
    <w:p w:rsidR="00E60E2C" w:rsidRDefault="00E60E2C">
      <w:pPr>
        <w:rPr>
          <w:b/>
        </w:rPr>
      </w:pPr>
    </w:p>
    <w:p w:rsidR="00E60E2C" w:rsidRDefault="00E60E2C">
      <w:pPr>
        <w:rPr>
          <w:b/>
        </w:rPr>
      </w:pPr>
    </w:p>
    <w:p w:rsidR="00E60E2C" w:rsidRDefault="00E60E2C">
      <w:pPr>
        <w:rPr>
          <w:b/>
        </w:rPr>
      </w:pPr>
    </w:p>
    <w:p w:rsidR="00CA27D1" w:rsidRDefault="00CA27D1">
      <w:r w:rsidRPr="00CA27D1">
        <w:rPr>
          <w:b/>
        </w:rPr>
        <w:lastRenderedPageBreak/>
        <w:t xml:space="preserve">Appendix </w:t>
      </w:r>
      <w:r w:rsidR="009617F0">
        <w:rPr>
          <w:b/>
        </w:rPr>
        <w:t>1</w:t>
      </w:r>
      <w:r>
        <w:t>: Continued</w:t>
      </w:r>
    </w:p>
    <w:p w:rsidR="00CA27D1" w:rsidRDefault="00CA27D1">
      <w:r>
        <w:rPr>
          <w:noProof/>
        </w:rPr>
        <w:drawing>
          <wp:inline distT="0" distB="0" distL="0" distR="0" wp14:anchorId="3797EC32" wp14:editId="5A4CFE46">
            <wp:extent cx="4983983" cy="3618783"/>
            <wp:effectExtent l="0" t="0" r="762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86352" cy="3620503"/>
                    </a:xfrm>
                    <a:prstGeom prst="rect">
                      <a:avLst/>
                    </a:prstGeom>
                    <a:noFill/>
                  </pic:spPr>
                </pic:pic>
              </a:graphicData>
            </a:graphic>
          </wp:inline>
        </w:drawing>
      </w:r>
    </w:p>
    <w:p w:rsidR="00CA27D1" w:rsidRDefault="00CA27D1"/>
    <w:p w:rsidR="00CA27D1" w:rsidRDefault="00CA27D1"/>
    <w:p w:rsidR="00CA27D1" w:rsidRDefault="00CA27D1">
      <w:r>
        <w:rPr>
          <w:noProof/>
        </w:rPr>
        <w:drawing>
          <wp:inline distT="0" distB="0" distL="0" distR="0" wp14:anchorId="56C3A18A" wp14:editId="2A190A5E">
            <wp:extent cx="4983983" cy="3618785"/>
            <wp:effectExtent l="0" t="0" r="762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96031" cy="3627533"/>
                    </a:xfrm>
                    <a:prstGeom prst="rect">
                      <a:avLst/>
                    </a:prstGeom>
                    <a:noFill/>
                  </pic:spPr>
                </pic:pic>
              </a:graphicData>
            </a:graphic>
          </wp:inline>
        </w:drawing>
      </w:r>
    </w:p>
    <w:p w:rsidR="00E60E2C" w:rsidRDefault="00E60E2C">
      <w:pPr>
        <w:rPr>
          <w:b/>
        </w:rPr>
      </w:pPr>
    </w:p>
    <w:p w:rsidR="00E60E2C" w:rsidRDefault="00E60E2C">
      <w:pPr>
        <w:rPr>
          <w:b/>
        </w:rPr>
      </w:pPr>
    </w:p>
    <w:p w:rsidR="00E60E2C" w:rsidRDefault="00E60E2C">
      <w:pPr>
        <w:rPr>
          <w:b/>
        </w:rPr>
      </w:pPr>
    </w:p>
    <w:p w:rsidR="00E60E2C" w:rsidRDefault="00E60E2C">
      <w:pPr>
        <w:rPr>
          <w:b/>
        </w:rPr>
      </w:pPr>
    </w:p>
    <w:p w:rsidR="00E60E2C" w:rsidRDefault="00E60E2C">
      <w:pPr>
        <w:rPr>
          <w:b/>
        </w:rPr>
      </w:pPr>
    </w:p>
    <w:p w:rsidR="00AA246C" w:rsidRDefault="00AA246C">
      <w:pPr>
        <w:rPr>
          <w:b/>
        </w:rPr>
      </w:pPr>
    </w:p>
    <w:p w:rsidR="00CA27D1" w:rsidRDefault="00CA27D1">
      <w:r w:rsidRPr="00CA27D1">
        <w:rPr>
          <w:b/>
        </w:rPr>
        <w:lastRenderedPageBreak/>
        <w:t xml:space="preserve">Appendix </w:t>
      </w:r>
      <w:r w:rsidR="009617F0">
        <w:rPr>
          <w:b/>
        </w:rPr>
        <w:t>1</w:t>
      </w:r>
      <w:r>
        <w:t>: Continued</w:t>
      </w:r>
    </w:p>
    <w:p w:rsidR="00CA27D1" w:rsidRDefault="00617859">
      <w:r>
        <w:rPr>
          <w:noProof/>
        </w:rPr>
        <w:drawing>
          <wp:inline distT="0" distB="0" distL="0" distR="0" wp14:anchorId="1DAF8CD2" wp14:editId="72BA1181">
            <wp:extent cx="5114611" cy="371363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23552" cy="3720122"/>
                    </a:xfrm>
                    <a:prstGeom prst="rect">
                      <a:avLst/>
                    </a:prstGeom>
                    <a:noFill/>
                  </pic:spPr>
                </pic:pic>
              </a:graphicData>
            </a:graphic>
          </wp:inline>
        </w:drawing>
      </w:r>
    </w:p>
    <w:p w:rsidR="00617859" w:rsidRDefault="00617859"/>
    <w:p w:rsidR="00617859" w:rsidRDefault="00617859"/>
    <w:p w:rsidR="00047217" w:rsidRDefault="00047217"/>
    <w:p w:rsidR="00617859" w:rsidRDefault="00511B6C">
      <w:r>
        <w:rPr>
          <w:noProof/>
        </w:rPr>
        <w:drawing>
          <wp:inline distT="0" distB="0" distL="0" distR="0" wp14:anchorId="673E6B0F" wp14:editId="609E1F8D">
            <wp:extent cx="5114611" cy="37136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16517" cy="3715014"/>
                    </a:xfrm>
                    <a:prstGeom prst="rect">
                      <a:avLst/>
                    </a:prstGeom>
                    <a:noFill/>
                  </pic:spPr>
                </pic:pic>
              </a:graphicData>
            </a:graphic>
          </wp:inline>
        </w:drawing>
      </w:r>
    </w:p>
    <w:p w:rsidR="00E60E2C" w:rsidRDefault="00E60E2C">
      <w:pPr>
        <w:rPr>
          <w:b/>
        </w:rPr>
      </w:pPr>
    </w:p>
    <w:p w:rsidR="00E60E2C" w:rsidRDefault="00E60E2C">
      <w:pPr>
        <w:rPr>
          <w:b/>
        </w:rPr>
      </w:pPr>
    </w:p>
    <w:p w:rsidR="00E60E2C" w:rsidRDefault="00E60E2C">
      <w:pPr>
        <w:rPr>
          <w:b/>
        </w:rPr>
      </w:pPr>
    </w:p>
    <w:p w:rsidR="00E60E2C" w:rsidRDefault="00E60E2C">
      <w:pPr>
        <w:rPr>
          <w:b/>
        </w:rPr>
      </w:pPr>
    </w:p>
    <w:p w:rsidR="00511B6C" w:rsidRDefault="00511B6C">
      <w:r w:rsidRPr="00511B6C">
        <w:rPr>
          <w:b/>
        </w:rPr>
        <w:lastRenderedPageBreak/>
        <w:t xml:space="preserve">Appendix </w:t>
      </w:r>
      <w:r w:rsidR="009617F0">
        <w:rPr>
          <w:b/>
        </w:rPr>
        <w:t>1</w:t>
      </w:r>
      <w:r>
        <w:t>: Continued</w:t>
      </w:r>
    </w:p>
    <w:p w:rsidR="00511B6C" w:rsidRDefault="00511B6C">
      <w:r>
        <w:rPr>
          <w:noProof/>
        </w:rPr>
        <w:drawing>
          <wp:inline distT="0" distB="0" distL="0" distR="0" wp14:anchorId="2D2D3CCA" wp14:editId="3B81DFAF">
            <wp:extent cx="5295481" cy="3844955"/>
            <wp:effectExtent l="0" t="0" r="63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06478" cy="3852940"/>
                    </a:xfrm>
                    <a:prstGeom prst="rect">
                      <a:avLst/>
                    </a:prstGeom>
                    <a:noFill/>
                  </pic:spPr>
                </pic:pic>
              </a:graphicData>
            </a:graphic>
          </wp:inline>
        </w:drawing>
      </w:r>
    </w:p>
    <w:p w:rsidR="00511B6C" w:rsidRDefault="00511B6C"/>
    <w:p w:rsidR="00047217" w:rsidRDefault="00047217"/>
    <w:p w:rsidR="00047217" w:rsidRDefault="00047217"/>
    <w:p w:rsidR="00511B6C" w:rsidRDefault="00511B6C">
      <w:r>
        <w:rPr>
          <w:noProof/>
        </w:rPr>
        <w:drawing>
          <wp:inline distT="0" distB="0" distL="0" distR="0" wp14:anchorId="006F0F4D" wp14:editId="3FAA9E77">
            <wp:extent cx="5300389" cy="384851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08109" cy="3854124"/>
                    </a:xfrm>
                    <a:prstGeom prst="rect">
                      <a:avLst/>
                    </a:prstGeom>
                    <a:noFill/>
                  </pic:spPr>
                </pic:pic>
              </a:graphicData>
            </a:graphic>
          </wp:inline>
        </w:drawing>
      </w:r>
    </w:p>
    <w:p w:rsidR="00E60E2C" w:rsidRDefault="00E60E2C">
      <w:pPr>
        <w:rPr>
          <w:b/>
        </w:rPr>
      </w:pPr>
    </w:p>
    <w:p w:rsidR="00AA246C" w:rsidRDefault="00AA246C">
      <w:pPr>
        <w:rPr>
          <w:b/>
        </w:rPr>
      </w:pPr>
    </w:p>
    <w:p w:rsidR="00FA41BE" w:rsidRDefault="00FA41BE">
      <w:r w:rsidRPr="00FA41BE">
        <w:rPr>
          <w:b/>
        </w:rPr>
        <w:lastRenderedPageBreak/>
        <w:t xml:space="preserve">Appendix </w:t>
      </w:r>
      <w:r w:rsidR="009617F0">
        <w:rPr>
          <w:b/>
        </w:rPr>
        <w:t>1</w:t>
      </w:r>
      <w:r w:rsidRPr="00FA41BE">
        <w:rPr>
          <w:b/>
        </w:rPr>
        <w:t xml:space="preserve">: </w:t>
      </w:r>
      <w:r>
        <w:t>Continued</w:t>
      </w:r>
    </w:p>
    <w:p w:rsidR="00FA41BE" w:rsidRDefault="00FA41BE">
      <w:r>
        <w:rPr>
          <w:noProof/>
        </w:rPr>
        <w:drawing>
          <wp:inline distT="0" distB="0" distL="0" distR="0" wp14:anchorId="0F8E1C7E" wp14:editId="59E7C3DF">
            <wp:extent cx="5235191" cy="3801180"/>
            <wp:effectExtent l="0" t="0" r="381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40527" cy="3805054"/>
                    </a:xfrm>
                    <a:prstGeom prst="rect">
                      <a:avLst/>
                    </a:prstGeom>
                    <a:noFill/>
                  </pic:spPr>
                </pic:pic>
              </a:graphicData>
            </a:graphic>
          </wp:inline>
        </w:drawing>
      </w:r>
    </w:p>
    <w:p w:rsidR="00FA41BE" w:rsidRDefault="00FA41BE"/>
    <w:p w:rsidR="00047217" w:rsidRDefault="00047217"/>
    <w:p w:rsidR="00047217" w:rsidRDefault="00047217"/>
    <w:p w:rsidR="00FA41BE" w:rsidRDefault="00FA41BE">
      <w:r>
        <w:rPr>
          <w:noProof/>
        </w:rPr>
        <w:drawing>
          <wp:inline distT="0" distB="0" distL="0" distR="0" wp14:anchorId="2B522166" wp14:editId="08D8024D">
            <wp:extent cx="5235191" cy="3801181"/>
            <wp:effectExtent l="0" t="0" r="381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35158" cy="3801157"/>
                    </a:xfrm>
                    <a:prstGeom prst="rect">
                      <a:avLst/>
                    </a:prstGeom>
                    <a:noFill/>
                  </pic:spPr>
                </pic:pic>
              </a:graphicData>
            </a:graphic>
          </wp:inline>
        </w:drawing>
      </w:r>
    </w:p>
    <w:p w:rsidR="00047217" w:rsidRDefault="00047217">
      <w:pPr>
        <w:rPr>
          <w:b/>
        </w:rPr>
      </w:pPr>
    </w:p>
    <w:p w:rsidR="00047217" w:rsidRDefault="00047217">
      <w:pPr>
        <w:rPr>
          <w:b/>
        </w:rPr>
      </w:pPr>
    </w:p>
    <w:p w:rsidR="00AA246C" w:rsidRDefault="00AA246C">
      <w:pPr>
        <w:rPr>
          <w:b/>
        </w:rPr>
      </w:pPr>
    </w:p>
    <w:p w:rsidR="00FA41BE" w:rsidRDefault="00FA41BE">
      <w:r w:rsidRPr="00FF5FF0">
        <w:rPr>
          <w:b/>
        </w:rPr>
        <w:lastRenderedPageBreak/>
        <w:t xml:space="preserve">Appendix </w:t>
      </w:r>
      <w:r w:rsidR="009617F0">
        <w:rPr>
          <w:b/>
        </w:rPr>
        <w:t>1</w:t>
      </w:r>
      <w:r>
        <w:t>: Continued</w:t>
      </w:r>
    </w:p>
    <w:p w:rsidR="00FA41BE" w:rsidRDefault="00FA41BE">
      <w:r>
        <w:rPr>
          <w:noProof/>
        </w:rPr>
        <w:drawing>
          <wp:inline distT="0" distB="0" distL="0" distR="0" wp14:anchorId="61DCF8F2" wp14:editId="754745DC">
            <wp:extent cx="5295481" cy="3844957"/>
            <wp:effectExtent l="0" t="0" r="63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02284" cy="3849896"/>
                    </a:xfrm>
                    <a:prstGeom prst="rect">
                      <a:avLst/>
                    </a:prstGeom>
                    <a:noFill/>
                  </pic:spPr>
                </pic:pic>
              </a:graphicData>
            </a:graphic>
          </wp:inline>
        </w:drawing>
      </w:r>
    </w:p>
    <w:p w:rsidR="00A23C3E" w:rsidRDefault="00A23C3E"/>
    <w:p w:rsidR="00047217" w:rsidRDefault="00047217"/>
    <w:p w:rsidR="00047217" w:rsidRDefault="00047217"/>
    <w:p w:rsidR="00A23C3E" w:rsidRDefault="00A23C3E">
      <w:r>
        <w:rPr>
          <w:noProof/>
        </w:rPr>
        <w:drawing>
          <wp:inline distT="0" distB="0" distL="0" distR="0" wp14:anchorId="4A5002FB" wp14:editId="7A8F2CF9">
            <wp:extent cx="5300388" cy="384851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00388" cy="3848519"/>
                    </a:xfrm>
                    <a:prstGeom prst="rect">
                      <a:avLst/>
                    </a:prstGeom>
                    <a:noFill/>
                  </pic:spPr>
                </pic:pic>
              </a:graphicData>
            </a:graphic>
          </wp:inline>
        </w:drawing>
      </w:r>
    </w:p>
    <w:p w:rsidR="00E60E2C" w:rsidRDefault="00E60E2C">
      <w:pPr>
        <w:rPr>
          <w:b/>
        </w:rPr>
      </w:pPr>
    </w:p>
    <w:p w:rsidR="00E60E2C" w:rsidRDefault="00E60E2C">
      <w:pPr>
        <w:rPr>
          <w:b/>
        </w:rPr>
      </w:pPr>
    </w:p>
    <w:p w:rsidR="00FF5FF0" w:rsidRDefault="00FF5FF0">
      <w:r w:rsidRPr="00FF5FF0">
        <w:rPr>
          <w:b/>
        </w:rPr>
        <w:lastRenderedPageBreak/>
        <w:t xml:space="preserve">Appendix </w:t>
      </w:r>
      <w:r w:rsidR="009617F0">
        <w:rPr>
          <w:b/>
        </w:rPr>
        <w:t>1</w:t>
      </w:r>
      <w:r>
        <w:t>: Continued</w:t>
      </w:r>
    </w:p>
    <w:p w:rsidR="00ED7E50" w:rsidRDefault="00FF5FF0">
      <w:r>
        <w:rPr>
          <w:noProof/>
        </w:rPr>
        <w:drawing>
          <wp:inline distT="0" distB="0" distL="0" distR="0" wp14:anchorId="61BD4BD5" wp14:editId="3613227D">
            <wp:extent cx="5741680" cy="4168933"/>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47070" cy="4172847"/>
                    </a:xfrm>
                    <a:prstGeom prst="rect">
                      <a:avLst/>
                    </a:prstGeom>
                    <a:noFill/>
                  </pic:spPr>
                </pic:pic>
              </a:graphicData>
            </a:graphic>
          </wp:inline>
        </w:drawing>
      </w:r>
    </w:p>
    <w:p w:rsidR="00ED7E50" w:rsidRDefault="00ED7E50">
      <w:r>
        <w:br w:type="page"/>
      </w:r>
    </w:p>
    <w:p w:rsidR="00ED7E50" w:rsidRDefault="00ED7E50" w:rsidP="00ED7E50">
      <w:r w:rsidRPr="003E6AC7">
        <w:rPr>
          <w:b/>
        </w:rPr>
        <w:lastRenderedPageBreak/>
        <w:t xml:space="preserve">Appendix </w:t>
      </w:r>
      <w:r>
        <w:rPr>
          <w:b/>
        </w:rPr>
        <w:t>2</w:t>
      </w:r>
      <w:r>
        <w:t>:  Stream Narratives</w:t>
      </w:r>
    </w:p>
    <w:p w:rsidR="00ED7E50" w:rsidRDefault="00ED7E50" w:rsidP="00ED7E50"/>
    <w:p w:rsidR="00ED7E50" w:rsidRPr="00275F38" w:rsidRDefault="00ED7E50" w:rsidP="00ED7E50">
      <w:pPr>
        <w:rPr>
          <w:b/>
        </w:rPr>
      </w:pPr>
      <w:r w:rsidRPr="00275F38">
        <w:rPr>
          <w:b/>
        </w:rPr>
        <w:t>Brewery Creek</w:t>
      </w:r>
    </w:p>
    <w:p w:rsidR="00ED7E50" w:rsidRDefault="00ED7E50" w:rsidP="00ED7E50">
      <w:r>
        <w:t xml:space="preserve">Brewery Creek is a 5 mile long stream located in southern Iowa County.  It originates northeast of the Village of Mineral Point and flows southward to join Rock Branch.  The combined flows are then called Furnace Branch which flows another </w:t>
      </w:r>
      <w:r w:rsidR="00886DC2">
        <w:t>3</w:t>
      </w:r>
      <w:r>
        <w:t xml:space="preserve"> miles toward the southwest to join the Mineral Point Branch.  Lead and zinc mining was prevalent in southwestern Wisconsin in the late 1800’s and early 1900’s.  Mining waste severely polluted Brewery Creek.  The few fish and macroinvertebrate species that were found were considered “tolerant” to pollution </w:t>
      </w:r>
      <w:r w:rsidRPr="004A0C4C">
        <w:t>(Schlesser, 1990).</w:t>
      </w:r>
      <w:r>
        <w:t xml:space="preserve">  The stream was considered “biologically dead” due to toxic metals and the smothering effect of ferric hydroxide precipitate </w:t>
      </w:r>
      <w:r w:rsidRPr="004A0C4C">
        <w:t>(Marshall and Fix, 1995).</w:t>
      </w:r>
      <w:r>
        <w:t xml:space="preserve">  </w:t>
      </w:r>
    </w:p>
    <w:p w:rsidR="00ED7E50" w:rsidRDefault="00ED7E50" w:rsidP="00ED7E50"/>
    <w:p w:rsidR="00ED7E50" w:rsidRDefault="00ED7E50" w:rsidP="00ED7E50">
      <w:r>
        <w:t xml:space="preserve">In 1992-1993, a major rehabilitation project took place which involved moving four roaster piles to a central containment area and re-routing the stream away from this </w:t>
      </w:r>
      <w:r w:rsidR="00C73C47">
        <w:t>containment</w:t>
      </w:r>
      <w:r>
        <w:t xml:space="preserve"> site.  Metals concentrations in the water column decreased by 80% and the stream no longer was rust colored (Ibid).  While the stream responded favorably to this action, most of the fauna was still dominated by a few tolerant species.  In 1998, the department </w:t>
      </w:r>
      <w:r w:rsidR="00C73C47">
        <w:t>plac</w:t>
      </w:r>
      <w:r>
        <w:t xml:space="preserve">ed Brewery Creek on its list of impaired, 303(d) waters.  In 1998 and 1999, water samples from Brewery Creek were tested in laboratory biomonitoring assays using the cladaceran </w:t>
      </w:r>
      <w:r w:rsidRPr="00A23502">
        <w:rPr>
          <w:i/>
        </w:rPr>
        <w:t>Ceriodaphnia dubia</w:t>
      </w:r>
      <w:r>
        <w:t xml:space="preserve"> and fathead minnow (</w:t>
      </w:r>
      <w:r w:rsidRPr="00A23502">
        <w:rPr>
          <w:i/>
        </w:rPr>
        <w:t>Pimephales promelas</w:t>
      </w:r>
      <w:r>
        <w:t xml:space="preserve">).   Tests showed chronic toxicity in </w:t>
      </w:r>
      <w:r w:rsidRPr="000F7FB5">
        <w:rPr>
          <w:i/>
        </w:rPr>
        <w:t>C. dubia</w:t>
      </w:r>
      <w:r>
        <w:t xml:space="preserve">  (mean number of young significantly reduced) while other acute and chronic tests showed no significant difference between the test water and the control. </w:t>
      </w:r>
    </w:p>
    <w:p w:rsidR="00ED7E50" w:rsidRDefault="00ED7E50" w:rsidP="00ED7E50"/>
    <w:p w:rsidR="00ED7E50" w:rsidRDefault="00ED7E50" w:rsidP="00ED7E50">
      <w:r>
        <w:t xml:space="preserve">In 2009 biologists surveyed the stream to look at the fish and macroinvertebrate communities and water column metals concentrations 16 years after the project to determine if the stream continued to respond to the action.  </w:t>
      </w:r>
      <w:r w:rsidR="00C73C47">
        <w:t>This 2009 study found concentrations of lead and zinc similar to those reported by M</w:t>
      </w:r>
      <w:r>
        <w:t>arshall (1995)</w:t>
      </w:r>
      <w:r w:rsidR="00C73C47">
        <w:t xml:space="preserve">, </w:t>
      </w:r>
      <w:r>
        <w:t xml:space="preserve">but with zinc levels still considerably less than prior to the remediation project.  From a biotic standpoint, biologists noted that the fishery of Brewery Creek seemed to have rebounded to some extent with an increase in diversity in the number of species and even the presence of brown trout with some evidence of natural reproduction (WDNR, 2009).  The 2009 study recommended that temperature monitoring should be conducted and future fishery surveys should be completed to determine if the recovery of the fishery and presence of trout was just a spurious event or a trend.  </w:t>
      </w:r>
    </w:p>
    <w:p w:rsidR="00ED7E50" w:rsidRDefault="00ED7E50" w:rsidP="00ED7E50"/>
    <w:p w:rsidR="00ED7E50" w:rsidRDefault="00ED7E50" w:rsidP="00ED7E50">
      <w:r>
        <w:t>The 2015 survey included temperature, chemical and biological monitoring.  The temperature monitoring showed maximum daily mean temperatures remain below the threshold which defines cold water (</w:t>
      </w:r>
      <w:r w:rsidR="004A0C4C">
        <w:t>Lyons, et. al., 2009</w:t>
      </w:r>
      <w:r>
        <w:t xml:space="preserve">).  The fishery survey </w:t>
      </w:r>
      <w:r w:rsidR="00886DC2">
        <w:t>showed</w:t>
      </w:r>
      <w:r>
        <w:t xml:space="preserve"> a similar representation of species</w:t>
      </w:r>
      <w:r w:rsidR="00886DC2">
        <w:t xml:space="preserve"> as those found in 2009</w:t>
      </w:r>
      <w:r>
        <w:t xml:space="preserve">, with continued presence of trout and even young-of-the-year specimens.  Since Brewery Creek is not stocked, it can only be surmised that these </w:t>
      </w:r>
      <w:r w:rsidR="00D5757A">
        <w:t xml:space="preserve">young </w:t>
      </w:r>
      <w:r>
        <w:t xml:space="preserve">fish were </w:t>
      </w:r>
      <w:r w:rsidR="00D5757A">
        <w:t>indigenous to this</w:t>
      </w:r>
      <w:r>
        <w:t xml:space="preserve"> system.  There was no increase in the density of trout and fewer individuals of 1+ year class were found in this survey.  </w:t>
      </w:r>
    </w:p>
    <w:p w:rsidR="00D5757A" w:rsidRDefault="00D5757A" w:rsidP="00ED7E50"/>
    <w:p w:rsidR="00D5757A" w:rsidRDefault="00D5757A" w:rsidP="00ED7E50">
      <w:r>
        <w:t xml:space="preserve">The macroinvertebrate data was consistent with other streams in the watershed in that HBIs showed little organic loading, but the MIBI reflected land use and habitat </w:t>
      </w:r>
      <w:r>
        <w:lastRenderedPageBreak/>
        <w:t>perturbation.  The poor MIBIs may also reflect the impacts of mining waste in the area.</w:t>
      </w:r>
    </w:p>
    <w:p w:rsidR="00ED7E50" w:rsidRDefault="00ED7E50" w:rsidP="00ED7E50"/>
    <w:p w:rsidR="00ED7E50" w:rsidRDefault="00ED7E50" w:rsidP="00ED7E50">
      <w:r>
        <w:t xml:space="preserve">As in 2009, water samples were taken at a site upstream of the remediation site and at </w:t>
      </w:r>
      <w:r w:rsidR="00886DC2">
        <w:t>two</w:t>
      </w:r>
      <w:r>
        <w:t xml:space="preserve"> locations downstream and analyzed for </w:t>
      </w:r>
      <w:r w:rsidR="004A0C4C">
        <w:t>lead and zinc</w:t>
      </w:r>
      <w:r>
        <w:t>.  Toxicity tests were also performed on these waters.  Just as in 2009, the water samples for the</w:t>
      </w:r>
      <w:r w:rsidR="00886DC2">
        <w:t xml:space="preserve"> two</w:t>
      </w:r>
      <w:r>
        <w:t xml:space="preserve"> downstream samples showed levels of Zn that exceed the acute toxicity criteria.  Likewise, the </w:t>
      </w:r>
      <w:r w:rsidR="00886DC2">
        <w:t>two</w:t>
      </w:r>
      <w:r>
        <w:t xml:space="preserve"> downstream samples showed acute and chronic toxicity in mean survival and neonate production, respectively, in bioassays conducted on </w:t>
      </w:r>
      <w:r w:rsidRPr="009E6D90">
        <w:rPr>
          <w:i/>
        </w:rPr>
        <w:t>Ceriodaphnia dubia</w:t>
      </w:r>
      <w:r>
        <w:t xml:space="preserve">.  Growth of the algae </w:t>
      </w:r>
      <w:r w:rsidRPr="009E6D90">
        <w:rPr>
          <w:i/>
        </w:rPr>
        <w:t>Selenastrum</w:t>
      </w:r>
      <w:r>
        <w:t xml:space="preserve"> was also significantly depressed in a chronic assay of the water samples.  A reduction in fluorescence was noted in the upstream sample relative to the lab control (424 vs. 374), but this reduction was not as significant as in the </w:t>
      </w:r>
      <w:r w:rsidR="00886DC2">
        <w:t>two</w:t>
      </w:r>
      <w:r>
        <w:t xml:space="preserve"> downstream sites (424 vs. 6 and 10).  </w:t>
      </w:r>
    </w:p>
    <w:p w:rsidR="00ED7E50" w:rsidRDefault="00ED7E50" w:rsidP="00ED7E50"/>
    <w:p w:rsidR="00ED7E50" w:rsidRDefault="00EA2F9D" w:rsidP="00ED7E50">
      <w:r>
        <w:rPr>
          <w:noProof/>
        </w:rPr>
        <mc:AlternateContent>
          <mc:Choice Requires="wps">
            <w:drawing>
              <wp:anchor distT="91440" distB="91440" distL="114300" distR="114300" simplePos="0" relativeHeight="251669504" behindDoc="0" locked="0" layoutInCell="0" allowOverlap="1" wp14:anchorId="07B31E26" wp14:editId="7D98468E">
                <wp:simplePos x="0" y="0"/>
                <wp:positionH relativeFrom="margin">
                  <wp:posOffset>2880995</wp:posOffset>
                </wp:positionH>
                <wp:positionV relativeFrom="margin">
                  <wp:posOffset>2485390</wp:posOffset>
                </wp:positionV>
                <wp:extent cx="2370455" cy="3004185"/>
                <wp:effectExtent l="38100" t="38100" r="106045" b="120015"/>
                <wp:wrapSquare wrapText="bothSides"/>
                <wp:docPr id="31"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370455" cy="3004185"/>
                        </a:xfrm>
                        <a:prstGeom prst="rect">
                          <a:avLst/>
                        </a:prstGeom>
                        <a:solidFill>
                          <a:schemeClr val="bg1"/>
                        </a:solidFill>
                        <a:ln w="19050">
                          <a:solidFill>
                            <a:schemeClr val="tx1">
                              <a:lumMod val="50000"/>
                              <a:lumOff val="50000"/>
                            </a:schemeClr>
                          </a:solidFill>
                          <a:miter lim="800000"/>
                          <a:headEnd/>
                          <a:tailEnd/>
                        </a:ln>
                        <a:effectLst>
                          <a:outerShdw blurRad="50800" dist="38100" dir="2700000" sx="100500" sy="100500" algn="tl" rotWithShape="0">
                            <a:prstClr val="black">
                              <a:alpha val="40000"/>
                            </a:prstClr>
                          </a:outerShdw>
                        </a:effectLst>
                      </wps:spPr>
                      <wps:txbx>
                        <w:txbxContent>
                          <w:p w:rsidR="00E679BE" w:rsidRDefault="00E679BE">
                            <w:pPr>
                              <w:rPr>
                                <w:color w:val="4F81BD" w:themeColor="accent1"/>
                                <w:sz w:val="20"/>
                                <w:szCs w:val="20"/>
                              </w:rPr>
                            </w:pPr>
                            <w:bookmarkStart w:id="0" w:name="_GoBack"/>
                            <w:r>
                              <w:rPr>
                                <w:noProof/>
                                <w:color w:val="4F81BD" w:themeColor="accent1"/>
                                <w:sz w:val="20"/>
                                <w:szCs w:val="20"/>
                              </w:rPr>
                              <w:drawing>
                                <wp:inline distT="0" distB="0" distL="0" distR="0" wp14:anchorId="2039E3DB" wp14:editId="67E71C1A">
                                  <wp:extent cx="1768105" cy="2356612"/>
                                  <wp:effectExtent l="0" t="0" r="3810" b="5715"/>
                                  <wp:docPr id="672" name="Picture 672" descr="C:\Users\amrhej\Pictures\Mineral Point and Sudan Br (2015)\Brewery Creek at Ferndale 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rhej\Pictures\Mineral Point and Sudan Br (2015)\Brewery Creek at Ferndale Rd2.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1772231" cy="2362112"/>
                                          </a:xfrm>
                                          <a:prstGeom prst="rect">
                                            <a:avLst/>
                                          </a:prstGeom>
                                          <a:noFill/>
                                          <a:ln>
                                            <a:noFill/>
                                          </a:ln>
                                        </pic:spPr>
                                      </pic:pic>
                                    </a:graphicData>
                                  </a:graphic>
                                </wp:inline>
                              </w:drawing>
                            </w:r>
                            <w:bookmarkEnd w:id="0"/>
                          </w:p>
                        </w:txbxContent>
                      </wps:txbx>
                      <wps:bodyPr rot="0" vert="horz" wrap="square" lIns="274320" tIns="274320" rIns="274320" bIns="274320" anchor="ctr" anchorCtr="0">
                        <a:noAutofit/>
                      </wps:bodyPr>
                    </wps:wsp>
                  </a:graphicData>
                </a:graphic>
                <wp14:sizeRelH relativeFrom="margin">
                  <wp14:pctWidth>0</wp14:pctWidth>
                </wp14:sizeRelH>
                <wp14:sizeRelV relativeFrom="page">
                  <wp14:pctHeight>0</wp14:pctHeight>
                </wp14:sizeRelV>
              </wp:anchor>
            </w:drawing>
          </mc:Choice>
          <mc:Fallback>
            <w:pict>
              <v:rect id="_x0000_s1032" style="position:absolute;margin-left:226.85pt;margin-top:195.7pt;width:186.65pt;height:236.55pt;flip:x;z-index:251669504;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" o:allowincell="f" fillcolor="white [3212]" strokecolor="gray [1629]" strokeweight="1.5pt">
                <v:shadow on="t" type="perspective" color="black" opacity="26214f" origin="-.5,-.5" offset=".74836mm,.74836mm" matrix="65864f,,,65864f"/>
                <v:textbox inset="21.6pt,21.6pt,21.6pt,21.6pt">
                  <w:txbxContent>
                    <w:p w:rsidR="00E679BE" w:rsidRDefault="00E679BE">
                      <w:pPr>
                        <w:rPr>
                          <w:color w:val="4F81BD" w:themeColor="accent1"/>
                          <w:sz w:val="20"/>
                          <w:szCs w:val="20"/>
                        </w:rPr>
                      </w:pPr>
                      <w:r>
                        <w:rPr>
                          <w:noProof/>
                          <w:color w:val="4F81BD" w:themeColor="accent1"/>
                          <w:sz w:val="20"/>
                          <w:szCs w:val="20"/>
                        </w:rPr>
                        <w:drawing>
                          <wp:inline distT="0" distB="0" distL="0" distR="0" wp14:anchorId="2039E3DB" wp14:editId="67E71C1A">
                            <wp:extent cx="1768105" cy="2356612"/>
                            <wp:effectExtent l="0" t="0" r="3810" b="5715"/>
                            <wp:docPr id="672" name="Picture 672" descr="C:\Users\amrhej\Pictures\Mineral Point and Sudan Br (2015)\Brewery Creek at Ferndale 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rhej\Pictures\Mineral Point and Sudan Br (2015)\Brewery Creek at Ferndale Rd2.JPG"/>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1772231" cy="2362112"/>
                                    </a:xfrm>
                                    <a:prstGeom prst="rect">
                                      <a:avLst/>
                                    </a:prstGeom>
                                    <a:noFill/>
                                    <a:ln>
                                      <a:noFill/>
                                    </a:ln>
                                  </pic:spPr>
                                </pic:pic>
                              </a:graphicData>
                            </a:graphic>
                          </wp:inline>
                        </w:drawing>
                      </w:r>
                    </w:p>
                  </w:txbxContent>
                </v:textbox>
                <w10:wrap type="square" anchorx="margin" anchory="margin"/>
              </v:rect>
            </w:pict>
          </mc:Fallback>
        </mc:AlternateContent>
      </w:r>
      <w:r w:rsidR="00E679BE">
        <w:rPr>
          <w:noProof/>
        </w:rPr>
        <mc:AlternateContent>
          <mc:Choice Requires="wps">
            <w:drawing>
              <wp:anchor distT="0" distB="0" distL="114300" distR="114300" simplePos="0" relativeHeight="251670528" behindDoc="0" locked="0" layoutInCell="1" allowOverlap="1" wp14:anchorId="6DC848F3" wp14:editId="37A3903C">
                <wp:simplePos x="0" y="0"/>
                <wp:positionH relativeFrom="column">
                  <wp:posOffset>3253105</wp:posOffset>
                </wp:positionH>
                <wp:positionV relativeFrom="paragraph">
                  <wp:posOffset>112960</wp:posOffset>
                </wp:positionV>
                <wp:extent cx="1678075" cy="231112"/>
                <wp:effectExtent l="0" t="0" r="17780" b="17145"/>
                <wp:wrapNone/>
                <wp:docPr id="673" name="Text Box 673"/>
                <wp:cNvGraphicFramePr/>
                <a:graphic xmlns:a="http://schemas.openxmlformats.org/drawingml/2006/main">
                  <a:graphicData uri="http://schemas.microsoft.com/office/word/2010/wordprocessingShape">
                    <wps:wsp>
                      <wps:cNvSpPr txBox="1"/>
                      <wps:spPr>
                        <a:xfrm>
                          <a:off x="0" y="0"/>
                          <a:ext cx="1678075" cy="2311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679BE" w:rsidRPr="00E679BE" w:rsidRDefault="00E679BE">
                            <w:pPr>
                              <w:rPr>
                                <w:sz w:val="16"/>
                                <w:szCs w:val="16"/>
                              </w:rPr>
                            </w:pPr>
                            <w:r w:rsidRPr="00E679BE">
                              <w:rPr>
                                <w:sz w:val="16"/>
                                <w:szCs w:val="16"/>
                              </w:rPr>
                              <w:t>Iron Precipitate in</w:t>
                            </w:r>
                            <w:r>
                              <w:t xml:space="preserve"> </w:t>
                            </w:r>
                            <w:r w:rsidRPr="00E679BE">
                              <w:rPr>
                                <w:sz w:val="16"/>
                                <w:szCs w:val="16"/>
                              </w:rPr>
                              <w:t>Brewery Creek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73" o:spid="_x0000_s1033" type="#_x0000_t202" style="position:absolute;margin-left:256.15pt;margin-top:8.9pt;width:132.15pt;height:18.2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" fillcolor="white [3201]" strokeweight=".5pt">
                <v:textbox>
                  <w:txbxContent>
                    <w:p w:rsidR="00E679BE" w:rsidRPr="00E679BE" w:rsidRDefault="00E679BE">
                      <w:pPr>
                        <w:rPr>
                          <w:sz w:val="16"/>
                          <w:szCs w:val="16"/>
                        </w:rPr>
                      </w:pPr>
                      <w:r w:rsidRPr="00E679BE">
                        <w:rPr>
                          <w:sz w:val="16"/>
                          <w:szCs w:val="16"/>
                        </w:rPr>
                        <w:t>Iron Precipitate in</w:t>
                      </w:r>
                      <w:r>
                        <w:t xml:space="preserve"> </w:t>
                      </w:r>
                      <w:r w:rsidRPr="00E679BE">
                        <w:rPr>
                          <w:sz w:val="16"/>
                          <w:szCs w:val="16"/>
                        </w:rPr>
                        <w:t>Brewery Creek</w:t>
                      </w:r>
                    </w:p>
                  </w:txbxContent>
                </v:textbox>
              </v:shape>
            </w:pict>
          </mc:Fallback>
        </mc:AlternateContent>
      </w:r>
      <w:r w:rsidR="00ED7E50">
        <w:t>Biologists also noted the orange color of the water and major presence of iron precipitate on the substrate of the stream in the areas downstream of the mine site</w:t>
      </w:r>
      <w:r w:rsidR="00E679BE">
        <w:t xml:space="preserve"> (See picture at right)</w:t>
      </w:r>
      <w:r w:rsidR="00ED7E50">
        <w:t xml:space="preserve">.  </w:t>
      </w:r>
      <w:r w:rsidR="00BB42F6">
        <w:t>This precipitate may be influencing the quality of the macroinvertebrate community as the MIBI score was better upstream of the impacted area and it also affects</w:t>
      </w:r>
      <w:r w:rsidR="00ED7E50">
        <w:t xml:space="preserve"> the aesthetic quality of the water.  Biologists have responded to complaints from concerned citizens over the color of the water </w:t>
      </w:r>
      <w:r w:rsidR="00E679BE">
        <w:t>o</w:t>
      </w:r>
      <w:r w:rsidR="00ED7E50">
        <w:t xml:space="preserve">n several occasions over the past several years.  </w:t>
      </w:r>
    </w:p>
    <w:p w:rsidR="00ED7E50" w:rsidRDefault="00ED7E50" w:rsidP="00ED7E50"/>
    <w:p w:rsidR="00ED7E50" w:rsidRDefault="00ED7E50" w:rsidP="00ED7E50">
      <w:r>
        <w:t>It would appear that in the 20+ years that have passed since the mine reclamation and stream relocation project, Brewery Creek has made moderate improvements in the fishery assemblage, but continues to be dominated by the tolerant species of white sucker and creek chub</w:t>
      </w:r>
      <w:r w:rsidR="00FD13F1">
        <w:t xml:space="preserve"> to the point of indicating human induced disturbance (Lyons, 2013).  </w:t>
      </w:r>
      <w:r>
        <w:t xml:space="preserve">  It is likely that nonpoint source pollution from both urban (</w:t>
      </w:r>
      <w:r w:rsidR="00886DC2">
        <w:t xml:space="preserve">village of </w:t>
      </w:r>
      <w:r>
        <w:t>Mineral Point) and rural sources impacts the stream to some extent.  Raw banks contribute to the already moderate amounts of bed sediment, particularly as one moves downstream from Ferndale Road along the state trail and through pasturelands.</w:t>
      </w:r>
    </w:p>
    <w:p w:rsidR="00ED7E50" w:rsidRDefault="00ED7E50" w:rsidP="00ED7E50"/>
    <w:p w:rsidR="00ED7E50" w:rsidRDefault="00ED7E50" w:rsidP="00ED7E50">
      <w:r>
        <w:t>Given the efforts already undertaken 20 years ago, it is unlikely the impacts of toxicity from the mining can be mitigated.</w:t>
      </w:r>
      <w:r w:rsidR="00FD13F1">
        <w:t xml:space="preserve">  </w:t>
      </w:r>
      <w:r>
        <w:t xml:space="preserve">However, the fishery may show response if the stream banks can be stabilized and bottom sediments reduced.  </w:t>
      </w:r>
      <w:r w:rsidR="00FD13F1">
        <w:t xml:space="preserve">The priority of such an activity should be taken in the context of the perturbations and limitations likely caused by the continued leaching of mining waste to the system.  </w:t>
      </w:r>
      <w:r>
        <w:t xml:space="preserve">While water temperatures may indicate a cold system, the species assemblage of Brewery Creek, an unnamed tributary (WBIC = 928700), and even Rock Branch, a designated trout stream, indicate the system to more likely be a cool-warm system, with occasional presence of brown trout in low numbers.  </w:t>
      </w:r>
    </w:p>
    <w:p w:rsidR="00FD13F1" w:rsidRDefault="00FD13F1" w:rsidP="00ED7E50"/>
    <w:p w:rsidR="00FD13F1" w:rsidRDefault="00ED7E50" w:rsidP="00ED7E50">
      <w:r>
        <w:lastRenderedPageBreak/>
        <w:t>The classification of Brewery Creek should also be revisited.  It is currently classified a variance water, but more recent fishery surveys have shown it to be a fish and aquatic life stream</w:t>
      </w:r>
      <w:r w:rsidR="00FD13F1">
        <w:t xml:space="preserve"> – albeit a disturbed one</w:t>
      </w:r>
      <w:r>
        <w:t>.  The classification should be updated to reflect the biota using a contemporary classification system.</w:t>
      </w:r>
    </w:p>
    <w:p w:rsidR="00ED7E50" w:rsidRDefault="00FD13F1" w:rsidP="00ED7E50">
      <w:r>
        <w:t xml:space="preserve">  </w:t>
      </w:r>
    </w:p>
    <w:p w:rsidR="00ED7E50" w:rsidRPr="00F440B1" w:rsidRDefault="00ED7E50" w:rsidP="00ED7E50">
      <w:pPr>
        <w:ind w:left="540" w:hanging="540"/>
        <w:rPr>
          <w:sz w:val="18"/>
          <w:szCs w:val="18"/>
        </w:rPr>
      </w:pPr>
      <w:r w:rsidRPr="00F440B1">
        <w:rPr>
          <w:sz w:val="18"/>
          <w:szCs w:val="18"/>
        </w:rPr>
        <w:t>Marshall, Dave and S. Fix.  1995.  Brewery Creek Water Quality Before and After Mining Waste Cleanup at Mineral Point, Wisconsin.  Wisconsin Department of Natural Resources.  Southern District Water Resources Management.  December, 1995.</w:t>
      </w:r>
    </w:p>
    <w:p w:rsidR="00ED7E50" w:rsidRPr="00F440B1" w:rsidRDefault="00ED7E50" w:rsidP="00ED7E50">
      <w:pPr>
        <w:rPr>
          <w:sz w:val="18"/>
          <w:szCs w:val="18"/>
        </w:rPr>
      </w:pPr>
    </w:p>
    <w:p w:rsidR="00ED7E50" w:rsidRPr="00F440B1" w:rsidRDefault="00ED7E50" w:rsidP="00ED7E50">
      <w:pPr>
        <w:ind w:left="540" w:hanging="540"/>
        <w:rPr>
          <w:sz w:val="18"/>
          <w:szCs w:val="18"/>
        </w:rPr>
      </w:pPr>
      <w:r w:rsidRPr="00F440B1">
        <w:rPr>
          <w:sz w:val="18"/>
          <w:szCs w:val="18"/>
        </w:rPr>
        <w:t>Schlesser, Roger.  1990.  Brewery Creek at Mineral Point.  Iowa County.  Sugar-Pecatonica Basin Assessment.  Mineral Point Roaster Piles.  Bureau of Water Resources Management.  Wisconsin Department of Natural Resources.  June, 1990.</w:t>
      </w:r>
    </w:p>
    <w:p w:rsidR="00ED7E50" w:rsidRPr="00F440B1" w:rsidRDefault="00ED7E50" w:rsidP="00ED7E50">
      <w:pPr>
        <w:rPr>
          <w:sz w:val="18"/>
          <w:szCs w:val="18"/>
        </w:rPr>
      </w:pPr>
    </w:p>
    <w:p w:rsidR="00ED7E50" w:rsidRPr="00F440B1" w:rsidRDefault="00ED7E50" w:rsidP="00ED7E50">
      <w:pPr>
        <w:ind w:left="540" w:hanging="540"/>
        <w:rPr>
          <w:sz w:val="18"/>
          <w:szCs w:val="18"/>
          <w:u w:val="single"/>
        </w:rPr>
      </w:pPr>
      <w:r w:rsidRPr="00F440B1">
        <w:rPr>
          <w:sz w:val="18"/>
          <w:szCs w:val="18"/>
        </w:rPr>
        <w:t xml:space="preserve">WDNR, 2009.  Evaluation of Brewery Creek (WBIC = 928600), Iowa Co. Wisconsin, 16 Years after Mine Remediation Project.  By James Amrhein.  December, 2009. </w:t>
      </w:r>
      <w:r w:rsidR="00C73C47" w:rsidRPr="00C73C47">
        <w:rPr>
          <w:sz w:val="18"/>
          <w:szCs w:val="18"/>
        </w:rPr>
        <w:t>http://prodoasint.dnr.wi.gov/wadrs/viewUnit.do?id=3999017&amp;wbic=928600&amp;show=waterbodyDescs</w:t>
      </w:r>
      <w:r w:rsidRPr="00F440B1">
        <w:rPr>
          <w:sz w:val="18"/>
          <w:szCs w:val="18"/>
        </w:rPr>
        <w:t xml:space="preserve"> </w:t>
      </w:r>
    </w:p>
    <w:p w:rsidR="00ED7E50" w:rsidRPr="00F440B1" w:rsidRDefault="00ED7E50" w:rsidP="00ED7E50">
      <w:pPr>
        <w:jc w:val="center"/>
        <w:rPr>
          <w:sz w:val="18"/>
          <w:szCs w:val="18"/>
        </w:rPr>
      </w:pPr>
    </w:p>
    <w:p w:rsidR="00ED7E50" w:rsidRDefault="00ED7E50" w:rsidP="00ED7E50"/>
    <w:p w:rsidR="00ED7E50" w:rsidRPr="00275F38" w:rsidRDefault="00ED7E50" w:rsidP="00ED7E50">
      <w:pPr>
        <w:rPr>
          <w:b/>
        </w:rPr>
      </w:pPr>
      <w:r w:rsidRPr="00275F38">
        <w:rPr>
          <w:b/>
        </w:rPr>
        <w:t>Furnace Branch</w:t>
      </w:r>
    </w:p>
    <w:p w:rsidR="00ED7E50" w:rsidRDefault="00ED7E50" w:rsidP="00ED7E50">
      <w:r>
        <w:t xml:space="preserve">This stream is formed by the confluence of Brewery Creek and Rock Branch.  It flows 3 miles toward the southwest until it joins the Mineral Point Branch a mile south of the Iowa/Lafayette County line.  It contains about a dozen transitional or warmwater fish species and can include a few stray gamefish like smallmouth bass and northern pike in its lower half.  A stray brown trout may also be found, likely coming downstream from Rock Branch where they are stocked.  For the most part; however, it is dominated by tolerant species such as white sucker and creek chubs, with some common shiner, hornyhead chubs and southern redbelly dace  also present in moderate numbers. </w:t>
      </w:r>
    </w:p>
    <w:p w:rsidR="00ED7E50" w:rsidRDefault="00ED7E50" w:rsidP="00ED7E50"/>
    <w:p w:rsidR="00ED7E50" w:rsidRDefault="00ED7E50" w:rsidP="00ED7E50">
      <w:r>
        <w:t xml:space="preserve">The department’s administrative code NR104 lists “Brewery (Furnace) Creek” as a variance water “upstream from confluence with Mineral Point Branch” and notes, “the (above) limitation shall remain in effect until significant </w:t>
      </w:r>
      <w:r w:rsidR="00BA4141">
        <w:t>nonpoint</w:t>
      </w:r>
      <w:r>
        <w:t xml:space="preserve"> source problems can be corrected.”  Furnace Branch is impacted by a high </w:t>
      </w:r>
      <w:r w:rsidR="00BA4141">
        <w:t>bed load</w:t>
      </w:r>
      <w:r>
        <w:t xml:space="preserve"> of sediment and a lack of habitat</w:t>
      </w:r>
      <w:r w:rsidR="00886DC2">
        <w:t>,</w:t>
      </w:r>
      <w:r>
        <w:t xml:space="preserve"> but is not currently on the state’s 303(d) list of impaired waters. Based on the biota and appearance of the stream, it appears unlikely that Furnace Branch is impacted by the mine issues that plague Brewery Creek.  </w:t>
      </w:r>
    </w:p>
    <w:p w:rsidR="00ED7E50" w:rsidRDefault="00ED7E50" w:rsidP="00ED7E50"/>
    <w:p w:rsidR="00ED7E50" w:rsidRDefault="00C73C47" w:rsidP="00ED7E50">
      <w:r>
        <w:t>However, t</w:t>
      </w:r>
      <w:r w:rsidR="00ED7E50">
        <w:t>he department should consider doing a more thorough examination of the habitat to determine if Furnace Branch should be put on the state’s 303(d) list of impaired waters.  The department should also revisit the current classification of Furnace Creek as a variance water.  The classification should be updated to reflect the current biota using a contemporary classification system.</w:t>
      </w:r>
    </w:p>
    <w:p w:rsidR="00ED7E50" w:rsidRDefault="00ED7E50" w:rsidP="00ED7E50"/>
    <w:p w:rsidR="00ED7E50" w:rsidRPr="00275F38" w:rsidRDefault="00ED7E50" w:rsidP="00ED7E50">
      <w:pPr>
        <w:rPr>
          <w:b/>
        </w:rPr>
      </w:pPr>
      <w:r w:rsidRPr="00275F38">
        <w:rPr>
          <w:b/>
        </w:rPr>
        <w:t>Laxey Creek</w:t>
      </w:r>
    </w:p>
    <w:p w:rsidR="00ED7E50" w:rsidRDefault="00ED7E50" w:rsidP="00ED7E50">
      <w:r>
        <w:t xml:space="preserve">This stream, formerly known as Pedler Creek, begins at Military Ridge, between Dodgeville and Edmund, and flows 10 miles toward the southwest were it joins Sudan Branch.  </w:t>
      </w:r>
      <w:r w:rsidRPr="00996A3E">
        <w:t>The upper 0.7 miles is classified Limited Forage Fish, while the remainder is a default warmwater sport fishery.  Bloomfield Manor, a nursing facility, discharges to the creek downstream of CTH CH.   In 1989, it</w:t>
      </w:r>
      <w:r>
        <w:t xml:space="preserve"> was recommended that the variance classification be lifted as biologists found good </w:t>
      </w:r>
      <w:r w:rsidR="00BA4141">
        <w:t>base flow</w:t>
      </w:r>
      <w:r>
        <w:t xml:space="preserve"> from groundwater inputs and suitable to a good population of forage fish (Schlesser, 1989).  The 2015 surveys showed the stream supports a diversity of transitional and warmwater species.  An occasional smallmouth bass can be found in </w:t>
      </w:r>
      <w:r>
        <w:lastRenderedPageBreak/>
        <w:t xml:space="preserve">the lower half of the stream.  One interesting finding from the 2015 survey was the presence of brook trout upstream of CTH B.  These trout are apparently a remnant population that hangs on in the system despite the fact they haven’t been stocked in the creek since 1999 (Bradd Sims, personal communication).  </w:t>
      </w:r>
      <w:r w:rsidR="00DE18E1">
        <w:t xml:space="preserve">A subsequent survey upstream and downstream of CTH CH in June of 2016 showed further presence of brook trout, especially upstream of CTH CH.  </w:t>
      </w:r>
      <w:r>
        <w:t>Overall, however, the fishery assemblage resembles a cool-warm fishery and no other coldwater indicator species are present.</w:t>
      </w:r>
    </w:p>
    <w:p w:rsidR="00ED7E50" w:rsidRDefault="00ED7E50" w:rsidP="00ED7E50"/>
    <w:p w:rsidR="00ED7E50" w:rsidRDefault="00ED7E50" w:rsidP="00ED7E50">
      <w:r>
        <w:t>Most of the stream flows through a pastured riparian corridor. However, biologists noted the most of it was lightly pastured wet meadow that, while it cannot be counted as a buffer, for all intents, it served that purpose.  There were some raw outside banks, but also many stable areas.  The gradient of the stream helped keep the bottom clean and consisting of rubble/cobble, gravel and areas of broken bedrock.  Overall habitat scores for the sites surveyed were good.</w:t>
      </w:r>
    </w:p>
    <w:p w:rsidR="00ED7E50" w:rsidRDefault="00ED7E50" w:rsidP="00ED7E50"/>
    <w:p w:rsidR="002914CD" w:rsidRDefault="00ED7E50" w:rsidP="002914CD">
      <w:r>
        <w:t xml:space="preserve">The surveys indicated that Laxey Creek is a good quality stream with a good diversity of non-game and some game species.  </w:t>
      </w:r>
      <w:r w:rsidR="00DE18E1">
        <w:t>While brook trout hang on in the headwaters without active management, the greater majority of the stream</w:t>
      </w:r>
      <w:r>
        <w:t xml:space="preserve"> likely serves as a nursery tributary for smallmouth bass to the greater Sudan and Mineral Point watershed.  Therefore it should be protected as such with grazing management to keep </w:t>
      </w:r>
      <w:r w:rsidR="00886DC2">
        <w:t>pastures in a condition of stab</w:t>
      </w:r>
      <w:r>
        <w:t>le grasses.</w:t>
      </w:r>
      <w:r w:rsidR="002914CD">
        <w:t xml:space="preserve"> Fisheries management may want to consider the lower half of Laxey Creek as </w:t>
      </w:r>
      <w:proofErr w:type="gramStart"/>
      <w:r w:rsidR="002914CD">
        <w:t>a managed</w:t>
      </w:r>
      <w:proofErr w:type="gramEnd"/>
      <w:r w:rsidR="002914CD">
        <w:t xml:space="preserve"> smallmouth bass water (nursery stream).</w:t>
      </w:r>
    </w:p>
    <w:p w:rsidR="00ED7E50" w:rsidRDefault="00ED7E50" w:rsidP="00ED7E50"/>
    <w:p w:rsidR="00ED7E50" w:rsidRDefault="00ED7E50" w:rsidP="00ED7E50">
      <w:r>
        <w:t>The department should also revise the classification of Laxey Creek to remove the variance section at the headwater.</w:t>
      </w:r>
    </w:p>
    <w:p w:rsidR="00ED7E50" w:rsidRDefault="00ED7E50" w:rsidP="00ED7E50"/>
    <w:p w:rsidR="00ED7E50" w:rsidRPr="00996A3E" w:rsidRDefault="00ED7E50" w:rsidP="00ED7E50">
      <w:pPr>
        <w:ind w:left="720" w:hanging="720"/>
        <w:rPr>
          <w:sz w:val="18"/>
          <w:szCs w:val="18"/>
        </w:rPr>
      </w:pPr>
      <w:r w:rsidRPr="00996A3E">
        <w:rPr>
          <w:sz w:val="18"/>
          <w:szCs w:val="18"/>
        </w:rPr>
        <w:t>Schlesser, Roger.  1989.  Pedler Creek at Bloomfield Manor.  Triennial Standards Review.  Bloomfield Manor WWTP.  Bureau of Water Resources Management.  Southern District.  July, 1989.</w:t>
      </w:r>
    </w:p>
    <w:p w:rsidR="00ED7E50" w:rsidRDefault="00ED7E50" w:rsidP="00ED7E50"/>
    <w:p w:rsidR="00ED7E50" w:rsidRPr="00275F38" w:rsidRDefault="00ED7E50" w:rsidP="00ED7E50">
      <w:pPr>
        <w:rPr>
          <w:b/>
        </w:rPr>
      </w:pPr>
      <w:r w:rsidRPr="00275F38">
        <w:rPr>
          <w:b/>
        </w:rPr>
        <w:t>Mineral Point Branch</w:t>
      </w:r>
    </w:p>
    <w:p w:rsidR="00ED7E50" w:rsidRDefault="00ED7E50" w:rsidP="00ED7E50">
      <w:r>
        <w:t>The flagship stream for the watershed begins on the Military Ridge just west of Dodgeville and flows 29 miles southerly into Lafayette County where it joins the Pecatonica River.  A dam across the stream northwest of Mineral Point forms Ludden Lake, a 50 acre impoundment on the stream.  Two fish species on the state’s threatened and endangered list, the slender madtom and the Ozark minnow, have historically been found in this stream (Fago, 1982).  There is no recent evidence, including this survey, to confirm these species still inhabit the stream.</w:t>
      </w:r>
    </w:p>
    <w:p w:rsidR="005F16E2" w:rsidRDefault="005F16E2" w:rsidP="00ED7E50"/>
    <w:p w:rsidR="00ED7E50" w:rsidRDefault="00DE14BA" w:rsidP="00ED7E50">
      <w:r>
        <w:t>A 2014 smallmouth bass study conducted by fish</w:t>
      </w:r>
      <w:r w:rsidR="007F417A">
        <w:t>eries</w:t>
      </w:r>
      <w:r>
        <w:t xml:space="preserve"> management on </w:t>
      </w:r>
      <w:r w:rsidR="00711A17">
        <w:t>Mineral Point Branch</w:t>
      </w:r>
      <w:r>
        <w:t xml:space="preserve"> (Sims, 2014) showed the system is able to support a </w:t>
      </w:r>
      <w:r w:rsidR="00BA4141">
        <w:t>reproducing</w:t>
      </w:r>
      <w:r>
        <w:t xml:space="preserve"> population of bass and provides limited angling </w:t>
      </w:r>
      <w:r w:rsidR="00BA4141">
        <w:t>opportunities</w:t>
      </w:r>
      <w:r>
        <w:t xml:space="preserve"> below Ludden Lake on an annual basis.  Upstream of Ludden Lake, habitat is limited for supporting a fishable bass population.  However, the </w:t>
      </w:r>
      <w:r w:rsidR="00BA4141">
        <w:t>habitat</w:t>
      </w:r>
      <w:r>
        <w:t xml:space="preserve"> and size of Mineral Point Branch seems to support</w:t>
      </w:r>
      <w:r w:rsidR="007F417A">
        <w:t xml:space="preserve"> reproduction for smallmouth coming upstream from the lake. </w:t>
      </w:r>
      <w:r w:rsidR="005F16E2">
        <w:t xml:space="preserve">Fisheries management has several recommendations for Mineral Point Branch.  The department recommends: no stocking of fish, maintaining the current size regulations, develop projects which would provide more habitat for smallmouth bass, especially the creation of deep pools and runs to hold adults year round.  Below Ludden Lake </w:t>
      </w:r>
      <w:r w:rsidR="005F16E2">
        <w:lastRenderedPageBreak/>
        <w:t>specifically, fisheries management recommends looking at efforts to secure streambank easements.</w:t>
      </w:r>
    </w:p>
    <w:p w:rsidR="005F16E2" w:rsidRDefault="005F16E2" w:rsidP="00ED7E50"/>
    <w:p w:rsidR="00ED7E50" w:rsidRDefault="00ED7E50" w:rsidP="00ED7E50">
      <w:r>
        <w:t xml:space="preserve">The stream is modelled to be a cool-cold headwater which graduates to a cool-cold mainstem with portions of cool-warm mainstem mixed in.  As shown in Appendix </w:t>
      </w:r>
      <w:r w:rsidR="00886DC2">
        <w:t>Table 4 and Appendix 1</w:t>
      </w:r>
      <w:r>
        <w:t xml:space="preserve">, temperatures in the upper portions of Mineral Point Branch, as indicated at Survey Road, had a mean </w:t>
      </w:r>
      <w:r w:rsidR="004A0F7A">
        <w:t>temperature</w:t>
      </w:r>
      <w:r w:rsidR="00EE3708">
        <w:t xml:space="preserve"> that remained below what</w:t>
      </w:r>
      <w:r>
        <w:t xml:space="preserve"> is considered the upper threshold for a cold system (Lyons, </w:t>
      </w:r>
      <w:r w:rsidR="00EE3708">
        <w:t>et. al., 2009</w:t>
      </w:r>
      <w:r>
        <w:t>).  Not surprisingly, temperatures downstream of Ludden Lake are considerably warmer, with daily mean temperatures routinely exceeding 25</w:t>
      </w:r>
      <w:r w:rsidRPr="00882586">
        <w:rPr>
          <w:vertAlign w:val="superscript"/>
        </w:rPr>
        <w:t>o</w:t>
      </w:r>
      <w:r>
        <w:t>C.  Further downstream at CTH O, temperatures moderated somewhat with temperatures occasionally exceeding 25</w:t>
      </w:r>
      <w:r w:rsidRPr="00882586">
        <w:rPr>
          <w:vertAlign w:val="superscript"/>
        </w:rPr>
        <w:t>o</w:t>
      </w:r>
      <w:r>
        <w:t xml:space="preserve">C.  Upstream of Ludden Lake and despite the lower temperatures, the fishery suggests a cool-warm transitional system and there are no coldwater indicator species. The temperatures downstream of Ludden Lake are indicative of a warm water fishery and are corroborated by the fish assemblage.  </w:t>
      </w:r>
    </w:p>
    <w:p w:rsidR="00ED7E50" w:rsidRDefault="00ED7E50" w:rsidP="00ED7E50"/>
    <w:p w:rsidR="00ED7E50" w:rsidRDefault="00ED7E50" w:rsidP="00ED7E50">
      <w:r>
        <w:t xml:space="preserve">The landscape of this subwatershed is similar to that for the whole watershed.  It contains row crops on the hilltops and lesser sloped hillsides.  Woodlands dot the steeper hillsides while much of the stream flows through pastured meadows or row cropped fields and scattered woodlands. Row crops become more prevalent in the broader valleys of Mineral Point Branch, downstream of STH 151.  This is reflected in the habitat score which shows buffers to vary depending upon the place in the watershed.  For instance, the tributaries to Mineral Point Branch along Survey Road are protected by meadow and presumably old pastureland that is now in set-aside.  In contrast, the mainstem of Mineral Point Branch has little to no buffer from either row crops or pasturing.  It is not surprising that there is a correlation between buffer and respective bank erosion score.  The width-to-depth ratio also tends to be depressed due to these stressors.  </w:t>
      </w:r>
    </w:p>
    <w:p w:rsidR="00ED7E50" w:rsidRDefault="00ED7E50" w:rsidP="00ED7E50"/>
    <w:p w:rsidR="00ED7E50" w:rsidRDefault="00ED7E50" w:rsidP="00ED7E50">
      <w:r>
        <w:t xml:space="preserve">Despite these stressors, the fishery of Mineral Point Branch is robust.  </w:t>
      </w:r>
      <w:r w:rsidR="004A0F7A">
        <w:t xml:space="preserve">The health of the fishery, as indicated by the IBI score, is excellent.  </w:t>
      </w:r>
      <w:r>
        <w:t xml:space="preserve">There is a variety of non-game species present in good numbers.  The majority of sites were regularly made up of common shiner, hornyhead chub, spotfin shiner, fantail and banded darter. Larger river species such as redhorse tended to be found in the lower ½ of Mineral Point Branch (downstream of Ludden Lake).  Smallmouth bass are found throughout the system, but smaller numbers of fish and smaller size fish were found upstream of Ludden Lake.  Downstream of Ludden Lake, Mineral Point Branch holds good numbers of </w:t>
      </w:r>
      <w:r w:rsidR="00EE3708">
        <w:t>fish in multiple year classes</w:t>
      </w:r>
      <w:r>
        <w:t>.  Catfish appear to be restricted to Mineral Point Branch downstream of Ludden Lake, but are found in good numbers</w:t>
      </w:r>
      <w:r w:rsidR="00EE3708">
        <w:t xml:space="preserve"> and of quality size with many specimens larger than 18 inches.</w:t>
      </w:r>
      <w:r>
        <w:t xml:space="preserve"> Walleye and northern pike were found in limited numbers in Mineral Point Branch.   Some of these fish are likely present due to stocking of Ludden Lake. </w:t>
      </w:r>
    </w:p>
    <w:p w:rsidR="00ED7E50" w:rsidRDefault="00ED7E50" w:rsidP="00ED7E50"/>
    <w:p w:rsidR="00AD12AC" w:rsidRDefault="004A0F7A" w:rsidP="00ED7E50">
      <w:r>
        <w:t>T</w:t>
      </w:r>
      <w:r w:rsidR="00AD12AC">
        <w:t>he macroinvertebrate community shows there is little organic pollution entering the water</w:t>
      </w:r>
      <w:r>
        <w:t>.  However, similar to other streams in the watershed</w:t>
      </w:r>
      <w:r w:rsidR="00AD12AC">
        <w:t>, the overall</w:t>
      </w:r>
      <w:r>
        <w:t xml:space="preserve"> MIBI</w:t>
      </w:r>
      <w:r w:rsidR="00AD12AC">
        <w:t xml:space="preserve"> scores are depressed, likely an indication of the land use of the riparian corridor.  The MIBI was highest at the uppermost sampled site at Survey Road, and then quickly degraded as one proceeded downstream.  The unnamed tributaries that feed Mineral Point Branch generally had better MIBI scores.  This may be due to their smaller </w:t>
      </w:r>
      <w:r w:rsidR="00AD12AC">
        <w:lastRenderedPageBreak/>
        <w:t>watershed size, a better riparian buffer (albeit coincidental), or a combination of the two.</w:t>
      </w:r>
    </w:p>
    <w:p w:rsidR="00AD12AC" w:rsidRDefault="00AD12AC" w:rsidP="00ED7E50"/>
    <w:p w:rsidR="00ED7E50" w:rsidRDefault="00ED7E50" w:rsidP="00ED7E50">
      <w:r>
        <w:t xml:space="preserve">In 2014, Mineral Point Branch was placed on the state’s 303(d) list of impaired waters because of total phosphorus concentrations in excess of the state’s criteria of 0.075 mg/l.  Sampling conducted on 2 sites on Mineral Point Branch in 2015 were similar in nature and confirmed the exceedance.  Therefore the stream should remain on the impaired waters list.  </w:t>
      </w:r>
    </w:p>
    <w:p w:rsidR="00ED7E50" w:rsidRDefault="00ED7E50" w:rsidP="00ED7E50"/>
    <w:p w:rsidR="00ED7E50" w:rsidRDefault="00ED7E50" w:rsidP="00ED7E50">
      <w:r>
        <w:t>The department should seek opportunities to work collaboratively on projects which would benefit water quality and overall ecosystem health.  Such opportunities include working with the Southwest Grasslands and Stream Conservation Area and Southwest Grasslands Bird Conservation Area</w:t>
      </w:r>
      <w:r w:rsidR="00EE3708">
        <w:t xml:space="preserve"> groups</w:t>
      </w:r>
      <w:r>
        <w:t xml:space="preserve">.  The department should work with groups to identify areas which would overlap as a priority for these programs, such as the upper Mineral Point watershed.  </w:t>
      </w:r>
      <w:r w:rsidR="00AC4795">
        <w:t>Lands under state ownership could be used as demonstration areas for proper grazing management.</w:t>
      </w:r>
    </w:p>
    <w:p w:rsidR="00ED7E50" w:rsidRDefault="00ED7E50" w:rsidP="00ED7E50"/>
    <w:p w:rsidR="00ED7E50" w:rsidRDefault="00ED7E50" w:rsidP="00ED7E50">
      <w:r>
        <w:t>There are a number of perched culverts on the tributaries that feed the upper Mineral Point Branch along Survey Road.  The department should look for opportunities to work with the county and townships to properly replace these culverts.</w:t>
      </w:r>
    </w:p>
    <w:p w:rsidR="00EE3708" w:rsidRDefault="00EE3708" w:rsidP="00ED7E50">
      <w:pPr>
        <w:ind w:left="630" w:hanging="630"/>
        <w:rPr>
          <w:sz w:val="18"/>
          <w:szCs w:val="18"/>
        </w:rPr>
      </w:pPr>
    </w:p>
    <w:p w:rsidR="00ED7E50" w:rsidRDefault="00ED7E50" w:rsidP="00ED7E50">
      <w:pPr>
        <w:ind w:left="630" w:hanging="630"/>
        <w:rPr>
          <w:sz w:val="18"/>
          <w:szCs w:val="18"/>
        </w:rPr>
      </w:pPr>
      <w:r w:rsidRPr="00660EA3">
        <w:rPr>
          <w:sz w:val="18"/>
          <w:szCs w:val="18"/>
        </w:rPr>
        <w:t>Fago, Don.  1982.  Distribution and Relative Abundance of Fishes in Wisconsin.  1. Greater Rock River Basin.  Wisconsin Department of Natural Resources.  Technical Bulletin No. 136.</w:t>
      </w:r>
    </w:p>
    <w:p w:rsidR="007F417A" w:rsidRDefault="007F417A" w:rsidP="00ED7E50">
      <w:pPr>
        <w:ind w:left="630" w:hanging="630"/>
        <w:rPr>
          <w:sz w:val="18"/>
          <w:szCs w:val="18"/>
        </w:rPr>
      </w:pPr>
    </w:p>
    <w:p w:rsidR="007F417A" w:rsidRPr="00660EA3" w:rsidRDefault="007F417A" w:rsidP="00ED7E50">
      <w:pPr>
        <w:ind w:left="630" w:hanging="630"/>
        <w:rPr>
          <w:sz w:val="18"/>
          <w:szCs w:val="18"/>
        </w:rPr>
      </w:pPr>
      <w:r>
        <w:rPr>
          <w:sz w:val="18"/>
          <w:szCs w:val="18"/>
        </w:rPr>
        <w:t xml:space="preserve">Sims, Bradd.  2014. 2014 Smallmouth Bass Survey of the Mineral Point Branch, Iowa County, Wisconsin.  Wisconsin Dept. of Natural Resources.  Dodgeville Field Office.  </w:t>
      </w:r>
    </w:p>
    <w:p w:rsidR="00ED7E50" w:rsidRDefault="00ED7E50" w:rsidP="00ED7E50"/>
    <w:p w:rsidR="00ED7E50" w:rsidRPr="00275F38" w:rsidRDefault="00ED7E50" w:rsidP="00ED7E50">
      <w:pPr>
        <w:rPr>
          <w:b/>
        </w:rPr>
      </w:pPr>
      <w:r w:rsidRPr="00275F38">
        <w:rPr>
          <w:b/>
        </w:rPr>
        <w:t>Pedler Creek</w:t>
      </w:r>
    </w:p>
    <w:p w:rsidR="00ED7E50" w:rsidRDefault="00ED7E50" w:rsidP="00ED7E50">
      <w:r>
        <w:t xml:space="preserve">This tributary to Sudan Branch receives effluent from the Village of Linden.  It was formerly an unnamed tributary until the USGS formally changed the name to Pedler Creek in 2007.  The former Pedler Creek was then changed to Laxey Creek (see </w:t>
      </w:r>
      <w:r w:rsidR="004A0F7A">
        <w:t xml:space="preserve">Laxey Creek narrative </w:t>
      </w:r>
      <w:r>
        <w:t>above).</w:t>
      </w:r>
    </w:p>
    <w:p w:rsidR="00ED7E50" w:rsidRDefault="00ED7E50" w:rsidP="00ED7E50"/>
    <w:p w:rsidR="00ED7E50" w:rsidRDefault="00ED7E50" w:rsidP="00ED7E50">
      <w:r>
        <w:t xml:space="preserve">This 4 mile long stream has its origin northeast of the Village of Linden.  If flows southerly past the village and joins Sudan Branch.  </w:t>
      </w:r>
    </w:p>
    <w:p w:rsidR="00ED7E50" w:rsidRDefault="00ED7E50" w:rsidP="00ED7E50"/>
    <w:p w:rsidR="00ED7E50" w:rsidRDefault="00ED7E50" w:rsidP="00ED7E50">
      <w:r>
        <w:t>The Linden area contains numerous historic mines and the leaching of metals from these mines may impact the water quality of Pedler Creek.  In 1999 the Wisconsin State Laboratory of Hygiene reported toxicity of the samples in the Linden area was primarily caused by high levels of zinc. In 2014, the Linden wastewater treatment plant reported having issues meeting their permit because of a failed bioassay test of their effluent, and specifically in their reference site water.  A subsequent investigation of several streams in the area showed that the toxicity was isolated to Pedler Creek and not a regional issue.  A subsequent Toxicity Identification Evaluation (TIE) showed zinc again to be the factor.   It was decided that the Linden WWTP will have to either use lab water or water from another nearby stream for their receiving water sample</w:t>
      </w:r>
      <w:r w:rsidR="00452E1F">
        <w:t xml:space="preserve"> (Kari Fleming, personal communication)</w:t>
      </w:r>
      <w:r>
        <w:t>.</w:t>
      </w:r>
    </w:p>
    <w:p w:rsidR="00ED7E50" w:rsidRDefault="00ED7E50" w:rsidP="00ED7E50"/>
    <w:p w:rsidR="004A0F7A" w:rsidRDefault="00ED7E50" w:rsidP="00ED7E50">
      <w:r>
        <w:t xml:space="preserve">Despite the metals toxicity and its impact on </w:t>
      </w:r>
      <w:r w:rsidRPr="00E86CD3">
        <w:rPr>
          <w:i/>
        </w:rPr>
        <w:t>Ceriodaphnia dubia</w:t>
      </w:r>
      <w:r>
        <w:t xml:space="preserve"> in the bioassay tests, this issue does not appear to be impacting the biota of Pedler Creek to any great extent. </w:t>
      </w:r>
      <w:r w:rsidR="00A01141">
        <w:t>Macroinvertebrate IBIs</w:t>
      </w:r>
      <w:r w:rsidR="00AD12AC">
        <w:t xml:space="preserve"> varied widely and were actually highest in the middle </w:t>
      </w:r>
      <w:r w:rsidR="00AD12AC">
        <w:lastRenderedPageBreak/>
        <w:t xml:space="preserve">section at STH 39. The “poor” MIBI downstream of the Linden WWTP is likely more an artifact of land use </w:t>
      </w:r>
      <w:r w:rsidR="00A01141">
        <w:t xml:space="preserve">(pastureland) </w:t>
      </w:r>
      <w:r w:rsidR="00AD12AC">
        <w:t xml:space="preserve">than the operation of the plant. </w:t>
      </w:r>
    </w:p>
    <w:p w:rsidR="004A0F7A" w:rsidRDefault="004A0F7A" w:rsidP="00ED7E50"/>
    <w:p w:rsidR="00ED7E50" w:rsidRDefault="004A0F7A" w:rsidP="00ED7E50">
      <w:r>
        <w:t>The fishery assemblage was dominated by</w:t>
      </w:r>
      <w:r w:rsidR="00A01141">
        <w:t xml:space="preserve"> </w:t>
      </w:r>
      <w:r w:rsidR="00ED7E50">
        <w:t>creek chubs, a tolerant species</w:t>
      </w:r>
      <w:r>
        <w:t>,</w:t>
      </w:r>
      <w:r w:rsidR="00ED7E50">
        <w:t xml:space="preserve"> at all site</w:t>
      </w:r>
      <w:r w:rsidR="00FD13F1">
        <w:t>s</w:t>
      </w:r>
      <w:r w:rsidR="00ED7E50">
        <w:t xml:space="preserve">, </w:t>
      </w:r>
      <w:r>
        <w:t xml:space="preserve">but </w:t>
      </w:r>
      <w:r w:rsidR="00FD13F1">
        <w:t>they did not exceed the threshold for human induced impairment.  T</w:t>
      </w:r>
      <w:r w:rsidR="00ED7E50">
        <w:t xml:space="preserve">he stream </w:t>
      </w:r>
      <w:r w:rsidR="00FD13F1">
        <w:t xml:space="preserve">does </w:t>
      </w:r>
      <w:r w:rsidR="00ED7E50">
        <w:t xml:space="preserve">contain a good diversity of species and is one of the few streams in the watershed to contain mottled sculpin, a coldwater indicator species. Despite this, the fishery community more closely resembles a cool-warm transitional stream that shows excellent quality. </w:t>
      </w:r>
    </w:p>
    <w:p w:rsidR="00ED7E50" w:rsidRDefault="00ED7E50" w:rsidP="00ED7E50"/>
    <w:p w:rsidR="00ED7E50" w:rsidRDefault="00ED7E50" w:rsidP="00ED7E50">
      <w:r>
        <w:t xml:space="preserve">There are some nonpoint source issues similar to other sites in the watershed.  Habitat is fair to good as the stream flows through riparian pastures.  Bank erosion is an issue, but the stream has good gradient which allows for scouring of sediment, leaving a mostly rubble/cobble bottom with some sediment in runs and shallow pools.  </w:t>
      </w:r>
    </w:p>
    <w:p w:rsidR="00ED7E50" w:rsidRDefault="00ED7E50" w:rsidP="00ED7E50"/>
    <w:p w:rsidR="00ED7E50" w:rsidRDefault="00ED7E50" w:rsidP="00ED7E50">
      <w:r>
        <w:t>As with most sites, the department and the county should look for opportunities to promote grazing management</w:t>
      </w:r>
      <w:r w:rsidR="00FD13F1">
        <w:t xml:space="preserve">.  </w:t>
      </w:r>
      <w:r w:rsidR="008A3CDA">
        <w:t>Given the water temperatures and presence of mottle sculpin, f</w:t>
      </w:r>
      <w:r w:rsidR="00FD13F1">
        <w:t xml:space="preserve">isheries management could also explore the opportunity to look at Pedler Creek as a coldwater (trout) resource.  However, this </w:t>
      </w:r>
      <w:r w:rsidR="008A3CDA">
        <w:t>opportunity should be taken in context of</w:t>
      </w:r>
      <w:r w:rsidR="00FD13F1">
        <w:t xml:space="preserve"> the size of the stream and opportunities for easement</w:t>
      </w:r>
      <w:r w:rsidR="008A3CDA">
        <w:t>, and the success or failure of other trout stocking activities in the watershed</w:t>
      </w:r>
      <w:r w:rsidR="00FD13F1">
        <w:t>.</w:t>
      </w:r>
    </w:p>
    <w:p w:rsidR="00ED7E50" w:rsidRDefault="00ED7E50" w:rsidP="00ED7E50"/>
    <w:p w:rsidR="00ED7E50" w:rsidRPr="00275F38" w:rsidRDefault="00ED7E50" w:rsidP="00ED7E50">
      <w:pPr>
        <w:rPr>
          <w:b/>
        </w:rPr>
      </w:pPr>
      <w:r w:rsidRPr="00275F38">
        <w:rPr>
          <w:b/>
        </w:rPr>
        <w:t>Rock Branch</w:t>
      </w:r>
    </w:p>
    <w:p w:rsidR="00ED7E50" w:rsidRDefault="00ED7E50" w:rsidP="00ED7E50">
      <w:r>
        <w:t>Rock Branch begins as a warmwater seepage stream south of STH 39</w:t>
      </w:r>
      <w:r w:rsidR="00BA6022">
        <w:t>,</w:t>
      </w:r>
      <w:r>
        <w:t xml:space="preserve"> east of Mineral Point.  As the stream flows southwestward, spring flows become the principal water source (WDNR, 1968).  The stream flows 3 miles until it joins with Brewery Creek and becomes Furnace Branch. It is currently designated as a Class II trout water and receives annual stocking of </w:t>
      </w:r>
      <w:r w:rsidR="00BA6022">
        <w:t xml:space="preserve">about 500 fingerling </w:t>
      </w:r>
      <w:r>
        <w:t xml:space="preserve">brown trout.  </w:t>
      </w:r>
    </w:p>
    <w:p w:rsidR="00BA6022" w:rsidRDefault="00BA6022" w:rsidP="00ED7E50"/>
    <w:p w:rsidR="00ED7E50" w:rsidRDefault="00ED7E50" w:rsidP="00ED7E50">
      <w:r>
        <w:t xml:space="preserve">While most of the species found in the stream represent a cool-warm fishery, surveys on the stream conducted from 2000 to 2011 showed the stream to sustain multiple year classes of brown trout and even some brook trout.  A stream habitat project was conducted by a private landowner upstream from Suthers Road in 2009. </w:t>
      </w:r>
    </w:p>
    <w:p w:rsidR="00ED7E50" w:rsidRDefault="00ED7E50" w:rsidP="00ED7E50"/>
    <w:p w:rsidR="00ED7E50" w:rsidRDefault="00ED7E50" w:rsidP="00ED7E50">
      <w:r>
        <w:t>This most recent survey conducted in 2015 was different.  A total of 3 brown trout were found at the 2 sites surveyed (Suthers Road and STH 23).  It is unknown what has happened to the trout population since the last survey was conducted in 2011.  The daily mean water temperature did exceed the 20.7</w:t>
      </w:r>
      <w:r w:rsidRPr="0066014E">
        <w:rPr>
          <w:vertAlign w:val="superscript"/>
        </w:rPr>
        <w:t>o</w:t>
      </w:r>
      <w:r>
        <w:t>C threshold for coldwater as define by Lyons</w:t>
      </w:r>
      <w:r w:rsidR="00BA6022">
        <w:t>, et. al.</w:t>
      </w:r>
      <w:r>
        <w:t xml:space="preserve"> (</w:t>
      </w:r>
      <w:r w:rsidR="00BA6022">
        <w:t>2009</w:t>
      </w:r>
      <w:r>
        <w:t>) on a dozen days over the summer period</w:t>
      </w:r>
      <w:r w:rsidR="00BA6022">
        <w:t xml:space="preserve">  (Appendix 1)</w:t>
      </w:r>
      <w:r>
        <w:t>.</w:t>
      </w:r>
      <w:r w:rsidR="00BA6022">
        <w:t xml:space="preserve"> However, mean temperatures remained in the range for a cool-cold system (Ibid).</w:t>
      </w:r>
      <w:r>
        <w:t xml:space="preserve"> While the fish assemblage more closely resembles a cool-warm transitional system, it has been able to sustain some returns on trout over the years.</w:t>
      </w:r>
    </w:p>
    <w:p w:rsidR="00ED7E50" w:rsidRDefault="00ED7E50" w:rsidP="00ED7E50"/>
    <w:p w:rsidR="00ED7E50" w:rsidRDefault="00ED7E50" w:rsidP="00ED7E50">
      <w:r>
        <w:t xml:space="preserve">Given the time that has passed, it is unlikely the department would be able to determine if the loss of trout was from a possible major fish kill event.  If one were to speculate that this was the case, the other species commonly inhabiting the stream seemed to have either not been affected or to have recovered from the event.  The department should conduct further surveys, including temperature monitoring, in consecutive years to determine if 2015 was an anomaly or if it should re-evaluate </w:t>
      </w:r>
      <w:r>
        <w:lastRenderedPageBreak/>
        <w:t xml:space="preserve">stocking of this stream.  If it is determined the stream can support trout, the department should pursue easements on the stream and/or stream rehabilitation projects.   </w:t>
      </w:r>
    </w:p>
    <w:p w:rsidR="00ED7E50" w:rsidRDefault="00ED7E50" w:rsidP="00ED7E50"/>
    <w:p w:rsidR="00ED7E50" w:rsidRPr="008F4EE8" w:rsidRDefault="00ED7E50" w:rsidP="00ED7E50">
      <w:pPr>
        <w:ind w:left="720" w:hanging="720"/>
        <w:rPr>
          <w:sz w:val="18"/>
          <w:szCs w:val="18"/>
        </w:rPr>
      </w:pPr>
      <w:r w:rsidRPr="008F4EE8">
        <w:rPr>
          <w:sz w:val="18"/>
          <w:szCs w:val="18"/>
        </w:rPr>
        <w:t>WDNR, 1968.  Surface Water Resources of Iowa County.  Lake and Stream Classification Project.  By Ron Piening and C.W. Threinen.  Wisconsin Department of Natural Resources.  Madison, WI.</w:t>
      </w:r>
    </w:p>
    <w:p w:rsidR="00ED7E50" w:rsidRDefault="00ED7E50" w:rsidP="00ED7E50"/>
    <w:p w:rsidR="00ED7E50" w:rsidRDefault="00ED7E50" w:rsidP="00ED7E50">
      <w:r w:rsidRPr="00275F38">
        <w:rPr>
          <w:b/>
        </w:rPr>
        <w:t>Sudan Branch</w:t>
      </w:r>
    </w:p>
    <w:p w:rsidR="00ED7E50" w:rsidRDefault="00ED7E50" w:rsidP="00ED7E50">
      <w:r>
        <w:t xml:space="preserve">The Sudan Branch, also known as the East Pecatonica River (not to be confused with the East </w:t>
      </w:r>
      <w:r w:rsidRPr="00AC4795">
        <w:rPr>
          <w:u w:val="single"/>
        </w:rPr>
        <w:t>Branch</w:t>
      </w:r>
      <w:r>
        <w:t xml:space="preserve"> Pecatonica River), is the 2</w:t>
      </w:r>
      <w:r w:rsidRPr="00812C58">
        <w:rPr>
          <w:vertAlign w:val="superscript"/>
        </w:rPr>
        <w:t>nd</w:t>
      </w:r>
      <w:r>
        <w:t xml:space="preserve"> longest stream in the watershed and is a tributary to Mineral Point Branch.  It begins on the Military Ridge between Edmund and Cobb and flows 18 miles toward the southeast.  The upper 3 miles (upstream of CTH X) of Sudan Branch are designated as a Class II trout water.  It is stocked annually with 250 – 1000 brown trout and has historically been stocked with walleye.</w:t>
      </w:r>
    </w:p>
    <w:p w:rsidR="00ED7E50" w:rsidRDefault="00ED7E50" w:rsidP="00ED7E50"/>
    <w:p w:rsidR="00ED7E50" w:rsidRDefault="00ED7E50" w:rsidP="00ED7E50">
      <w:r>
        <w:t xml:space="preserve">The Natural Communities Model (Lyons, </w:t>
      </w:r>
      <w:r w:rsidR="00AC4795">
        <w:t>2008</w:t>
      </w:r>
      <w:r>
        <w:t xml:space="preserve">) indicates that Sudan Branch is purportedly a cool-cold transitional system.  However, with the exception of the upper most sampled site at Whitson Road, the 2015 </w:t>
      </w:r>
      <w:r w:rsidR="00AC4795">
        <w:t xml:space="preserve">temperature </w:t>
      </w:r>
      <w:r w:rsidR="005C2F38">
        <w:t xml:space="preserve">monitoring </w:t>
      </w:r>
      <w:r w:rsidR="00AC4795">
        <w:t xml:space="preserve">and fisheries </w:t>
      </w:r>
      <w:r>
        <w:t xml:space="preserve">surveys showed </w:t>
      </w:r>
      <w:r w:rsidR="00AC4795">
        <w:t>it more</w:t>
      </w:r>
      <w:r>
        <w:t xml:space="preserve"> closely resembles a cool-warm transitional </w:t>
      </w:r>
      <w:r w:rsidR="00AC4795">
        <w:t xml:space="preserve">or even a warm </w:t>
      </w:r>
      <w:r>
        <w:t>one.  Mottled sculpin, a coldwater indicator species, was found in the upper 2 sites upstream of Roaster Road.  Individual trout were found at 2 sites, but those were downstream of the designated trout water.  There were no 1+ age trout in the “trout water” section that was surveyed.  The young-of-the-year trout that were captured at Roaster Road were likely the fish stocked a couple of weeks prior to the survey.</w:t>
      </w:r>
    </w:p>
    <w:p w:rsidR="00ED7E50" w:rsidRDefault="00ED7E50" w:rsidP="00ED7E50"/>
    <w:p w:rsidR="00ED7E50" w:rsidRDefault="00ED7E50" w:rsidP="00ED7E50">
      <w:r>
        <w:t>Not surprisingly, the fishery of the lower half of Sudan Branch resembles that of the upper half of Mineral Point Branch into which it flows.  There are a variety of non-game species including white suckers and creek chubs, but also common shiner, central stoneroller, hornyhead chub and johnny darter.  Redhorse are also found in the lower sites.  Smallmouth bass were not found upstream of Roaster Road.  Their numbers and size range increased as one proceeded downstream.  A couple of rogue channel catfish, likely migrants from Mineral Point Branch, were found in the lower stations, and there was no evidence of walleyes in the 2015 surveys.</w:t>
      </w:r>
    </w:p>
    <w:p w:rsidR="00ED7E50" w:rsidRDefault="00ED7E50" w:rsidP="00ED7E50"/>
    <w:p w:rsidR="00ED7E50" w:rsidRDefault="00ED7E50" w:rsidP="00ED7E50">
      <w:r>
        <w:t xml:space="preserve">Sudan Branch, while a </w:t>
      </w:r>
      <w:r w:rsidR="005C2F38">
        <w:t xml:space="preserve">relatively </w:t>
      </w:r>
      <w:r>
        <w:t>large stream, lacks the depth of Mineral Point Branch to hold over large populations of river species such as catfish, buffalo, and drum.  Even smallmouth bass likely migrate to the deeper holes of Mineral Point Branch during winter months.  Still, Sudan Branch serves as a good nursery stream and can hold multi-year fish during certain times of the year.</w:t>
      </w:r>
      <w:r w:rsidRPr="00310DF4">
        <w:t xml:space="preserve"> </w:t>
      </w:r>
      <w:r>
        <w:t xml:space="preserve">Overall fishery health, based on the IBI shows the stream to be “excellent”.  </w:t>
      </w:r>
    </w:p>
    <w:p w:rsidR="00ED7E50" w:rsidRDefault="00ED7E50" w:rsidP="00ED7E50"/>
    <w:p w:rsidR="00ED7E50" w:rsidRDefault="00ED7E50" w:rsidP="00ED7E50">
      <w:r>
        <w:t>The stream flows through pasturelands for much of its length.  Bank erosion and trampling are primary sources of sediment to the stream.  Because of its good gradient, Sudan Branch has a hard bottom in riffles and in the thalweg.  Silt is common in slow runs and other quiescent areas.  The shallow bedrock formations offer hard substrate in many areas either through r</w:t>
      </w:r>
      <w:r w:rsidR="00DA5D08">
        <w:t>ubble/cobble or broken bedrock and lend themselves</w:t>
      </w:r>
      <w:r w:rsidR="0084105C">
        <w:t xml:space="preserve"> to the formation of </w:t>
      </w:r>
      <w:r>
        <w:t>nice riffle/run complexes</w:t>
      </w:r>
      <w:r w:rsidR="00DA5D08">
        <w:t>.  However, this formation also</w:t>
      </w:r>
      <w:r>
        <w:t xml:space="preserve"> precludes the presence of deep pools.  While width-to-depth ratios were fair to good, pasturing must be managed so that trampled banks are kept to a </w:t>
      </w:r>
      <w:r>
        <w:lastRenderedPageBreak/>
        <w:t xml:space="preserve">minimum in order to </w:t>
      </w:r>
      <w:r w:rsidR="0084105C">
        <w:t>prevent</w:t>
      </w:r>
      <w:r>
        <w:t xml:space="preserve"> stream widening.  The department and county should look for opportunities to engage landowners in rotational grazing and installation of cattle crossings</w:t>
      </w:r>
      <w:r w:rsidR="005C2F38">
        <w:t xml:space="preserve"> as well as other opportunities to reduce other sources of nonpoint source pollution such as runoff from barnyards or planting cover crops to reduce soil erosion from crop fields.</w:t>
      </w:r>
      <w:r>
        <w:t xml:space="preserve"> </w:t>
      </w:r>
      <w:r w:rsidR="005C2F38">
        <w:t xml:space="preserve"> </w:t>
      </w:r>
    </w:p>
    <w:sectPr w:rsidR="00ED7E50" w:rsidSect="00F814AD">
      <w:pgSz w:w="12240" w:h="15840" w:code="1"/>
      <w:pgMar w:top="1260" w:right="1980" w:bottom="630" w:left="2045"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3CAB" w:rsidRDefault="008E3CAB" w:rsidP="00C22983">
      <w:r>
        <w:separator/>
      </w:r>
    </w:p>
  </w:endnote>
  <w:endnote w:type="continuationSeparator" w:id="0">
    <w:p w:rsidR="008E3CAB" w:rsidRDefault="008E3CAB" w:rsidP="00C229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3CAB" w:rsidRDefault="008E3CAB" w:rsidP="00C22983">
      <w:r>
        <w:separator/>
      </w:r>
    </w:p>
  </w:footnote>
  <w:footnote w:type="continuationSeparator" w:id="0">
    <w:p w:rsidR="008E3CAB" w:rsidRDefault="008E3CAB" w:rsidP="00C2298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40D496A"/>
    <w:multiLevelType w:val="hybridMultilevel"/>
    <w:tmpl w:val="0B4E0A0E"/>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66BF"/>
    <w:rsid w:val="00014952"/>
    <w:rsid w:val="000154F7"/>
    <w:rsid w:val="00033495"/>
    <w:rsid w:val="00036E00"/>
    <w:rsid w:val="000458CB"/>
    <w:rsid w:val="00047217"/>
    <w:rsid w:val="0006103D"/>
    <w:rsid w:val="0009264A"/>
    <w:rsid w:val="000D4240"/>
    <w:rsid w:val="00104171"/>
    <w:rsid w:val="0011596E"/>
    <w:rsid w:val="00117B33"/>
    <w:rsid w:val="001360CC"/>
    <w:rsid w:val="001527B1"/>
    <w:rsid w:val="001A6108"/>
    <w:rsid w:val="001B58F3"/>
    <w:rsid w:val="001C1FEA"/>
    <w:rsid w:val="001C2B31"/>
    <w:rsid w:val="001C6BBF"/>
    <w:rsid w:val="001D1EFC"/>
    <w:rsid w:val="001E0CFD"/>
    <w:rsid w:val="001E392B"/>
    <w:rsid w:val="001F2EFF"/>
    <w:rsid w:val="00202101"/>
    <w:rsid w:val="0021779A"/>
    <w:rsid w:val="0023519B"/>
    <w:rsid w:val="00240DB1"/>
    <w:rsid w:val="00250D95"/>
    <w:rsid w:val="00251D67"/>
    <w:rsid w:val="00275F38"/>
    <w:rsid w:val="002767C2"/>
    <w:rsid w:val="002827D8"/>
    <w:rsid w:val="00283B3A"/>
    <w:rsid w:val="002914CD"/>
    <w:rsid w:val="0029532E"/>
    <w:rsid w:val="00295BD5"/>
    <w:rsid w:val="002D025B"/>
    <w:rsid w:val="002D062B"/>
    <w:rsid w:val="002D2B21"/>
    <w:rsid w:val="002F317D"/>
    <w:rsid w:val="002F41C4"/>
    <w:rsid w:val="002F75E8"/>
    <w:rsid w:val="00310DF4"/>
    <w:rsid w:val="003157BA"/>
    <w:rsid w:val="00335F68"/>
    <w:rsid w:val="0035361A"/>
    <w:rsid w:val="00387B4D"/>
    <w:rsid w:val="003A0C51"/>
    <w:rsid w:val="003E6806"/>
    <w:rsid w:val="003E6AC7"/>
    <w:rsid w:val="00415ED8"/>
    <w:rsid w:val="0042104D"/>
    <w:rsid w:val="0043359B"/>
    <w:rsid w:val="00436E25"/>
    <w:rsid w:val="00452E1F"/>
    <w:rsid w:val="00491D91"/>
    <w:rsid w:val="00497043"/>
    <w:rsid w:val="004A0C4C"/>
    <w:rsid w:val="004A0F7A"/>
    <w:rsid w:val="004B13DB"/>
    <w:rsid w:val="004B2E5C"/>
    <w:rsid w:val="004C2569"/>
    <w:rsid w:val="004F1F82"/>
    <w:rsid w:val="00507A31"/>
    <w:rsid w:val="00511B6C"/>
    <w:rsid w:val="0051595D"/>
    <w:rsid w:val="00517D52"/>
    <w:rsid w:val="00533902"/>
    <w:rsid w:val="00546CD0"/>
    <w:rsid w:val="005652B9"/>
    <w:rsid w:val="00567E6C"/>
    <w:rsid w:val="005706BE"/>
    <w:rsid w:val="00586591"/>
    <w:rsid w:val="005A044F"/>
    <w:rsid w:val="005A4292"/>
    <w:rsid w:val="005A5255"/>
    <w:rsid w:val="005B0F68"/>
    <w:rsid w:val="005B5982"/>
    <w:rsid w:val="005C2F38"/>
    <w:rsid w:val="005D5CF5"/>
    <w:rsid w:val="005F16E2"/>
    <w:rsid w:val="005F2EC1"/>
    <w:rsid w:val="00617859"/>
    <w:rsid w:val="0063379A"/>
    <w:rsid w:val="006525DA"/>
    <w:rsid w:val="0066014E"/>
    <w:rsid w:val="00660EA3"/>
    <w:rsid w:val="006669C8"/>
    <w:rsid w:val="006B2197"/>
    <w:rsid w:val="006B5358"/>
    <w:rsid w:val="006B773C"/>
    <w:rsid w:val="006F1580"/>
    <w:rsid w:val="00700DA3"/>
    <w:rsid w:val="00711A17"/>
    <w:rsid w:val="007468A1"/>
    <w:rsid w:val="00751372"/>
    <w:rsid w:val="00761DA2"/>
    <w:rsid w:val="00780CFE"/>
    <w:rsid w:val="0078159C"/>
    <w:rsid w:val="00787DAB"/>
    <w:rsid w:val="00790056"/>
    <w:rsid w:val="00795496"/>
    <w:rsid w:val="007A3D3B"/>
    <w:rsid w:val="007C57D5"/>
    <w:rsid w:val="007F417A"/>
    <w:rsid w:val="00812C58"/>
    <w:rsid w:val="0081569A"/>
    <w:rsid w:val="0084105C"/>
    <w:rsid w:val="008512C2"/>
    <w:rsid w:val="008530DB"/>
    <w:rsid w:val="008609F3"/>
    <w:rsid w:val="008714E1"/>
    <w:rsid w:val="008724D8"/>
    <w:rsid w:val="008749CE"/>
    <w:rsid w:val="00875A74"/>
    <w:rsid w:val="00882586"/>
    <w:rsid w:val="00886A9F"/>
    <w:rsid w:val="00886DC2"/>
    <w:rsid w:val="008909A5"/>
    <w:rsid w:val="008A3CDA"/>
    <w:rsid w:val="008A60DF"/>
    <w:rsid w:val="008B67DD"/>
    <w:rsid w:val="008B7491"/>
    <w:rsid w:val="008C1D46"/>
    <w:rsid w:val="008E3CAB"/>
    <w:rsid w:val="008F2107"/>
    <w:rsid w:val="008F4EE8"/>
    <w:rsid w:val="00912563"/>
    <w:rsid w:val="009147E7"/>
    <w:rsid w:val="00917BEA"/>
    <w:rsid w:val="0092369F"/>
    <w:rsid w:val="009453D1"/>
    <w:rsid w:val="00945A0A"/>
    <w:rsid w:val="009617F0"/>
    <w:rsid w:val="00962B70"/>
    <w:rsid w:val="00966D10"/>
    <w:rsid w:val="00996A3E"/>
    <w:rsid w:val="009A1A04"/>
    <w:rsid w:val="009A590D"/>
    <w:rsid w:val="009C03C9"/>
    <w:rsid w:val="009C71FE"/>
    <w:rsid w:val="009D4EB7"/>
    <w:rsid w:val="009E3942"/>
    <w:rsid w:val="009E6575"/>
    <w:rsid w:val="009E6D90"/>
    <w:rsid w:val="009F1F8F"/>
    <w:rsid w:val="00A01141"/>
    <w:rsid w:val="00A03D77"/>
    <w:rsid w:val="00A11B11"/>
    <w:rsid w:val="00A22A1A"/>
    <w:rsid w:val="00A23C3E"/>
    <w:rsid w:val="00A40540"/>
    <w:rsid w:val="00A521D7"/>
    <w:rsid w:val="00A62702"/>
    <w:rsid w:val="00A86B99"/>
    <w:rsid w:val="00AA246C"/>
    <w:rsid w:val="00AC4795"/>
    <w:rsid w:val="00AD12AC"/>
    <w:rsid w:val="00AD539C"/>
    <w:rsid w:val="00AE1238"/>
    <w:rsid w:val="00AE4BFF"/>
    <w:rsid w:val="00AE67F0"/>
    <w:rsid w:val="00AF32E0"/>
    <w:rsid w:val="00B1213A"/>
    <w:rsid w:val="00B1312B"/>
    <w:rsid w:val="00B35669"/>
    <w:rsid w:val="00B83A51"/>
    <w:rsid w:val="00BA4141"/>
    <w:rsid w:val="00BA6022"/>
    <w:rsid w:val="00BB3719"/>
    <w:rsid w:val="00BB42F6"/>
    <w:rsid w:val="00BC66BF"/>
    <w:rsid w:val="00C01D9C"/>
    <w:rsid w:val="00C1126C"/>
    <w:rsid w:val="00C22983"/>
    <w:rsid w:val="00C67416"/>
    <w:rsid w:val="00C73C47"/>
    <w:rsid w:val="00C74E3C"/>
    <w:rsid w:val="00C906FF"/>
    <w:rsid w:val="00CA27D1"/>
    <w:rsid w:val="00CB1AF8"/>
    <w:rsid w:val="00CB369B"/>
    <w:rsid w:val="00CC52B1"/>
    <w:rsid w:val="00CD30F9"/>
    <w:rsid w:val="00CE32A6"/>
    <w:rsid w:val="00D12DE2"/>
    <w:rsid w:val="00D2753D"/>
    <w:rsid w:val="00D307B2"/>
    <w:rsid w:val="00D5757A"/>
    <w:rsid w:val="00D70AFB"/>
    <w:rsid w:val="00D86CD7"/>
    <w:rsid w:val="00D944BD"/>
    <w:rsid w:val="00D95256"/>
    <w:rsid w:val="00D95C4D"/>
    <w:rsid w:val="00DA5D08"/>
    <w:rsid w:val="00DA5FE6"/>
    <w:rsid w:val="00DB6EC4"/>
    <w:rsid w:val="00DC2455"/>
    <w:rsid w:val="00DD0861"/>
    <w:rsid w:val="00DE14BA"/>
    <w:rsid w:val="00DE18E1"/>
    <w:rsid w:val="00DF25A3"/>
    <w:rsid w:val="00E0661B"/>
    <w:rsid w:val="00E25166"/>
    <w:rsid w:val="00E3419F"/>
    <w:rsid w:val="00E56E1C"/>
    <w:rsid w:val="00E60E2C"/>
    <w:rsid w:val="00E63654"/>
    <w:rsid w:val="00E679BE"/>
    <w:rsid w:val="00E73651"/>
    <w:rsid w:val="00E86CD3"/>
    <w:rsid w:val="00E93AE2"/>
    <w:rsid w:val="00E96872"/>
    <w:rsid w:val="00EA2F9D"/>
    <w:rsid w:val="00EB1521"/>
    <w:rsid w:val="00EC4802"/>
    <w:rsid w:val="00ED7E50"/>
    <w:rsid w:val="00EE296B"/>
    <w:rsid w:val="00EE3708"/>
    <w:rsid w:val="00EF6242"/>
    <w:rsid w:val="00F376A9"/>
    <w:rsid w:val="00F42FD1"/>
    <w:rsid w:val="00F440B1"/>
    <w:rsid w:val="00F46ABB"/>
    <w:rsid w:val="00F74A6E"/>
    <w:rsid w:val="00F758CC"/>
    <w:rsid w:val="00F814AD"/>
    <w:rsid w:val="00F92D25"/>
    <w:rsid w:val="00FA41BE"/>
    <w:rsid w:val="00FB7DF8"/>
    <w:rsid w:val="00FC2D5A"/>
    <w:rsid w:val="00FC4508"/>
    <w:rsid w:val="00FD13F1"/>
    <w:rsid w:val="00FD410B"/>
    <w:rsid w:val="00FE765A"/>
    <w:rsid w:val="00FF5FF0"/>
    <w:rsid w:val="00FF61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EE29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C57D5"/>
    <w:pPr>
      <w:ind w:left="720"/>
      <w:contextualSpacing/>
    </w:pPr>
  </w:style>
  <w:style w:type="paragraph" w:styleId="BalloonText">
    <w:name w:val="Balloon Text"/>
    <w:basedOn w:val="Normal"/>
    <w:link w:val="BalloonTextChar"/>
    <w:rsid w:val="00D12DE2"/>
    <w:rPr>
      <w:rFonts w:ascii="Tahoma" w:hAnsi="Tahoma" w:cs="Tahoma"/>
      <w:sz w:val="16"/>
      <w:szCs w:val="16"/>
    </w:rPr>
  </w:style>
  <w:style w:type="character" w:customStyle="1" w:styleId="BalloonTextChar">
    <w:name w:val="Balloon Text Char"/>
    <w:basedOn w:val="DefaultParagraphFont"/>
    <w:link w:val="BalloonText"/>
    <w:rsid w:val="00D12DE2"/>
    <w:rPr>
      <w:rFonts w:ascii="Tahoma" w:hAnsi="Tahoma" w:cs="Tahoma"/>
      <w:sz w:val="16"/>
      <w:szCs w:val="16"/>
    </w:rPr>
  </w:style>
  <w:style w:type="paragraph" w:styleId="Header">
    <w:name w:val="header"/>
    <w:basedOn w:val="Normal"/>
    <w:link w:val="HeaderChar"/>
    <w:rsid w:val="00C22983"/>
    <w:pPr>
      <w:tabs>
        <w:tab w:val="center" w:pos="4680"/>
        <w:tab w:val="right" w:pos="9360"/>
      </w:tabs>
    </w:pPr>
  </w:style>
  <w:style w:type="character" w:customStyle="1" w:styleId="HeaderChar">
    <w:name w:val="Header Char"/>
    <w:basedOn w:val="DefaultParagraphFont"/>
    <w:link w:val="Header"/>
    <w:rsid w:val="00C22983"/>
    <w:rPr>
      <w:sz w:val="24"/>
      <w:szCs w:val="24"/>
    </w:rPr>
  </w:style>
  <w:style w:type="paragraph" w:styleId="Footer">
    <w:name w:val="footer"/>
    <w:basedOn w:val="Normal"/>
    <w:link w:val="FooterChar"/>
    <w:rsid w:val="00C22983"/>
    <w:pPr>
      <w:tabs>
        <w:tab w:val="center" w:pos="4680"/>
        <w:tab w:val="right" w:pos="9360"/>
      </w:tabs>
    </w:pPr>
  </w:style>
  <w:style w:type="character" w:customStyle="1" w:styleId="FooterChar">
    <w:name w:val="Footer Char"/>
    <w:basedOn w:val="DefaultParagraphFont"/>
    <w:link w:val="Footer"/>
    <w:rsid w:val="00C22983"/>
    <w:rPr>
      <w:sz w:val="24"/>
      <w:szCs w:val="24"/>
    </w:rPr>
  </w:style>
  <w:style w:type="paragraph" w:styleId="Caption">
    <w:name w:val="caption"/>
    <w:basedOn w:val="Normal"/>
    <w:next w:val="Normal"/>
    <w:semiHidden/>
    <w:unhideWhenUsed/>
    <w:qFormat/>
    <w:rsid w:val="004F1F82"/>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EE29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C57D5"/>
    <w:pPr>
      <w:ind w:left="720"/>
      <w:contextualSpacing/>
    </w:pPr>
  </w:style>
  <w:style w:type="paragraph" w:styleId="BalloonText">
    <w:name w:val="Balloon Text"/>
    <w:basedOn w:val="Normal"/>
    <w:link w:val="BalloonTextChar"/>
    <w:rsid w:val="00D12DE2"/>
    <w:rPr>
      <w:rFonts w:ascii="Tahoma" w:hAnsi="Tahoma" w:cs="Tahoma"/>
      <w:sz w:val="16"/>
      <w:szCs w:val="16"/>
    </w:rPr>
  </w:style>
  <w:style w:type="character" w:customStyle="1" w:styleId="BalloonTextChar">
    <w:name w:val="Balloon Text Char"/>
    <w:basedOn w:val="DefaultParagraphFont"/>
    <w:link w:val="BalloonText"/>
    <w:rsid w:val="00D12DE2"/>
    <w:rPr>
      <w:rFonts w:ascii="Tahoma" w:hAnsi="Tahoma" w:cs="Tahoma"/>
      <w:sz w:val="16"/>
      <w:szCs w:val="16"/>
    </w:rPr>
  </w:style>
  <w:style w:type="paragraph" w:styleId="Header">
    <w:name w:val="header"/>
    <w:basedOn w:val="Normal"/>
    <w:link w:val="HeaderChar"/>
    <w:rsid w:val="00C22983"/>
    <w:pPr>
      <w:tabs>
        <w:tab w:val="center" w:pos="4680"/>
        <w:tab w:val="right" w:pos="9360"/>
      </w:tabs>
    </w:pPr>
  </w:style>
  <w:style w:type="character" w:customStyle="1" w:styleId="HeaderChar">
    <w:name w:val="Header Char"/>
    <w:basedOn w:val="DefaultParagraphFont"/>
    <w:link w:val="Header"/>
    <w:rsid w:val="00C22983"/>
    <w:rPr>
      <w:sz w:val="24"/>
      <w:szCs w:val="24"/>
    </w:rPr>
  </w:style>
  <w:style w:type="paragraph" w:styleId="Footer">
    <w:name w:val="footer"/>
    <w:basedOn w:val="Normal"/>
    <w:link w:val="FooterChar"/>
    <w:rsid w:val="00C22983"/>
    <w:pPr>
      <w:tabs>
        <w:tab w:val="center" w:pos="4680"/>
        <w:tab w:val="right" w:pos="9360"/>
      </w:tabs>
    </w:pPr>
  </w:style>
  <w:style w:type="character" w:customStyle="1" w:styleId="FooterChar">
    <w:name w:val="Footer Char"/>
    <w:basedOn w:val="DefaultParagraphFont"/>
    <w:link w:val="Footer"/>
    <w:rsid w:val="00C22983"/>
    <w:rPr>
      <w:sz w:val="24"/>
      <w:szCs w:val="24"/>
    </w:rPr>
  </w:style>
  <w:style w:type="paragraph" w:styleId="Caption">
    <w:name w:val="caption"/>
    <w:basedOn w:val="Normal"/>
    <w:next w:val="Normal"/>
    <w:semiHidden/>
    <w:unhideWhenUsed/>
    <w:qFormat/>
    <w:rsid w:val="004F1F82"/>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emf"/><Relationship Id="rId18" Type="http://schemas.microsoft.com/office/2007/relationships/hdphoto" Target="media/hdphoto1.wdp"/><Relationship Id="rId26" Type="http://schemas.openxmlformats.org/officeDocument/2006/relationships/image" Target="media/image11.png"/><Relationship Id="rId39" Type="http://schemas.openxmlformats.org/officeDocument/2006/relationships/image" Target="media/image24.jpeg"/><Relationship Id="rId3" Type="http://schemas.microsoft.com/office/2007/relationships/stylesWithEffects" Target="stylesWithEffects.xml"/><Relationship Id="rId21" Type="http://schemas.openxmlformats.org/officeDocument/2006/relationships/image" Target="media/image9.emf"/><Relationship Id="rId34" Type="http://schemas.openxmlformats.org/officeDocument/2006/relationships/image" Target="media/image19.png"/><Relationship Id="rId42" Type="http://schemas.microsoft.com/office/2007/relationships/hdphoto" Target="media/hdphoto30.wdp"/><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8.jpeg"/><Relationship Id="rId25" Type="http://schemas.microsoft.com/office/2007/relationships/hdphoto" Target="media/hdphoto20.wdp"/><Relationship Id="rId33" Type="http://schemas.openxmlformats.org/officeDocument/2006/relationships/image" Target="media/image18.png"/><Relationship Id="rId38" Type="http://schemas.openxmlformats.org/officeDocument/2006/relationships/image" Target="media/image23.png"/><Relationship Id="rId2" Type="http://schemas.openxmlformats.org/officeDocument/2006/relationships/styles" Target="styles.xml"/><Relationship Id="rId16" Type="http://schemas.openxmlformats.org/officeDocument/2006/relationships/image" Target="media/image7.emf"/><Relationship Id="rId20" Type="http://schemas.microsoft.com/office/2007/relationships/hdphoto" Target="media/hdphoto10.wdp"/><Relationship Id="rId29" Type="http://schemas.openxmlformats.org/officeDocument/2006/relationships/image" Target="media/image14.png"/><Relationship Id="rId41" Type="http://schemas.openxmlformats.org/officeDocument/2006/relationships/image" Target="media/image24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00.jpeg"/><Relationship Id="rId32" Type="http://schemas.openxmlformats.org/officeDocument/2006/relationships/image" Target="media/image17.png"/><Relationship Id="rId37" Type="http://schemas.openxmlformats.org/officeDocument/2006/relationships/image" Target="media/image22.png"/><Relationship Id="rId40" Type="http://schemas.microsoft.com/office/2007/relationships/hdphoto" Target="media/hdphoto3.wdp"/><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07/relationships/hdphoto" Target="media/hdphoto2.wdp"/><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image" Target="media/image20.wmf"/><Relationship Id="rId19" Type="http://schemas.openxmlformats.org/officeDocument/2006/relationships/image" Target="media/image80.jpeg"/><Relationship Id="rId31" Type="http://schemas.openxmlformats.org/officeDocument/2006/relationships/image" Target="media/image1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5.emf"/><Relationship Id="rId22" Type="http://schemas.openxmlformats.org/officeDocument/2006/relationships/image" Target="media/image10.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32</Pages>
  <Words>8546</Words>
  <Characters>48713</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
    </vt:vector>
  </TitlesOfParts>
  <Company>Wisconsin DNR</Company>
  <LinksUpToDate>false</LinksUpToDate>
  <CharactersWithSpaces>57145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Amrhein, James F</dc:creator>
  <cp:lastModifiedBy>Amrhein, James F</cp:lastModifiedBy>
  <cp:revision>2</cp:revision>
  <cp:lastPrinted>2016-12-28T21:56:00Z</cp:lastPrinted>
  <dcterms:created xsi:type="dcterms:W3CDTF">2017-01-04T18:43:00Z</dcterms:created>
  <dcterms:modified xsi:type="dcterms:W3CDTF">2017-01-04T18:43:00Z</dcterms:modified>
</cp:coreProperties>
</file>