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9DD" w:rsidRDefault="008739DD" w:rsidP="008739DD">
      <w:bookmarkStart w:id="0" w:name="_GoBack"/>
      <w:bookmarkEnd w:id="0"/>
      <w:r>
        <w:t xml:space="preserve">Date: </w:t>
      </w:r>
      <w:r w:rsidR="00EC4B02">
        <w:t>12</w:t>
      </w:r>
      <w:r>
        <w:t>/</w:t>
      </w:r>
      <w:r w:rsidR="00EC4B02">
        <w:t>11</w:t>
      </w:r>
      <w:r>
        <w:t>/2017</w:t>
      </w:r>
    </w:p>
    <w:p w:rsidR="008739DD" w:rsidRDefault="006B796D" w:rsidP="008739DD">
      <w:r>
        <w:t>Invoice ID: 2017-0</w:t>
      </w:r>
      <w:r w:rsidR="00EC4B02">
        <w:t>3</w:t>
      </w:r>
    </w:p>
    <w:p w:rsidR="008739DD" w:rsidRDefault="008739DD" w:rsidP="008739DD"/>
    <w:p w:rsidR="008739DD" w:rsidRDefault="008739DD" w:rsidP="008739DD">
      <w:r>
        <w:t xml:space="preserve">Contact person: Sarah Bartlett </w:t>
      </w:r>
    </w:p>
    <w:p w:rsidR="008739DD" w:rsidRDefault="008739DD" w:rsidP="008739DD">
      <w:pPr>
        <w:ind w:left="2160"/>
      </w:pPr>
      <w:r>
        <w:t>Organization: NEW Water: the brand of Green Bay Metropolitan Sewerage District</w:t>
      </w:r>
    </w:p>
    <w:p w:rsidR="008739DD" w:rsidRDefault="008739DD" w:rsidP="008739DD">
      <w:r>
        <w:tab/>
      </w:r>
      <w:r>
        <w:tab/>
      </w:r>
      <w:r>
        <w:tab/>
        <w:t>Address: 2231 N. Quincy Street Green Bay, WI 54302</w:t>
      </w:r>
    </w:p>
    <w:p w:rsidR="008739DD" w:rsidRDefault="008739DD" w:rsidP="008739DD">
      <w:r>
        <w:tab/>
      </w:r>
      <w:r>
        <w:tab/>
      </w:r>
      <w:r>
        <w:tab/>
        <w:t>Phone number: (920) 438-1088</w:t>
      </w:r>
    </w:p>
    <w:p w:rsidR="008739DD" w:rsidRDefault="008739DD" w:rsidP="008739DD"/>
    <w:p w:rsidR="008739DD" w:rsidRDefault="008739DD" w:rsidP="008739DD">
      <w:r>
        <w:t xml:space="preserve">Project Title: “Assessing Cyanobacterial Harmful Algal Blooms (CHABs) in Lower  </w:t>
      </w:r>
    </w:p>
    <w:p w:rsidR="008739DD" w:rsidRDefault="008739DD" w:rsidP="008739DD">
      <w:r>
        <w:t xml:space="preserve">                        Green Bay”</w:t>
      </w:r>
    </w:p>
    <w:p w:rsidR="008739DD" w:rsidRDefault="008739DD" w:rsidP="008739DD">
      <w:r>
        <w:t xml:space="preserve">Period covered by this invoice:   </w:t>
      </w:r>
      <w:r>
        <w:rPr>
          <w:i/>
          <w:sz w:val="22"/>
          <w:szCs w:val="22"/>
          <w:u w:val="single"/>
        </w:rPr>
        <w:t>0</w:t>
      </w:r>
      <w:r w:rsidR="00EC4B02">
        <w:rPr>
          <w:i/>
          <w:sz w:val="22"/>
          <w:szCs w:val="22"/>
          <w:u w:val="single"/>
        </w:rPr>
        <w:t>8</w:t>
      </w:r>
      <w:r>
        <w:rPr>
          <w:i/>
          <w:sz w:val="22"/>
          <w:szCs w:val="22"/>
          <w:u w:val="single"/>
        </w:rPr>
        <w:t>/</w:t>
      </w:r>
      <w:r w:rsidR="00EC4B02">
        <w:rPr>
          <w:i/>
          <w:sz w:val="22"/>
          <w:szCs w:val="22"/>
          <w:u w:val="single"/>
        </w:rPr>
        <w:t>18</w:t>
      </w:r>
      <w:r>
        <w:rPr>
          <w:i/>
          <w:sz w:val="22"/>
          <w:szCs w:val="22"/>
          <w:u w:val="single"/>
        </w:rPr>
        <w:t>/2017</w:t>
      </w:r>
      <w:r>
        <w:t xml:space="preserve">    to   </w:t>
      </w:r>
      <w:r w:rsidR="00EC4B02">
        <w:rPr>
          <w:i/>
          <w:sz w:val="22"/>
          <w:szCs w:val="22"/>
          <w:u w:val="single"/>
        </w:rPr>
        <w:t>10</w:t>
      </w:r>
      <w:r>
        <w:rPr>
          <w:i/>
          <w:sz w:val="22"/>
          <w:szCs w:val="22"/>
          <w:u w:val="single"/>
        </w:rPr>
        <w:t>/</w:t>
      </w:r>
      <w:r w:rsidR="00EC4B02">
        <w:rPr>
          <w:i/>
          <w:sz w:val="22"/>
          <w:szCs w:val="22"/>
          <w:u w:val="single"/>
        </w:rPr>
        <w:t>25</w:t>
      </w:r>
      <w:r>
        <w:rPr>
          <w:i/>
          <w:sz w:val="22"/>
          <w:szCs w:val="22"/>
          <w:u w:val="single"/>
        </w:rPr>
        <w:t>/2017</w:t>
      </w:r>
    </w:p>
    <w:p w:rsidR="00842B81" w:rsidRDefault="00680A1B"/>
    <w:p w:rsidR="008739DD" w:rsidRDefault="008739DD">
      <w:pPr>
        <w:rPr>
          <w:u w:val="single"/>
        </w:rPr>
      </w:pPr>
      <w:r w:rsidRPr="008739DD">
        <w:rPr>
          <w:u w:val="single"/>
        </w:rPr>
        <w:t xml:space="preserve">2017 Quarter </w:t>
      </w:r>
      <w:r w:rsidR="00EC4B02">
        <w:rPr>
          <w:u w:val="single"/>
        </w:rPr>
        <w:t>3</w:t>
      </w:r>
      <w:r w:rsidRPr="008739DD">
        <w:rPr>
          <w:u w:val="single"/>
        </w:rPr>
        <w:t xml:space="preserve"> Report </w:t>
      </w:r>
    </w:p>
    <w:p w:rsidR="00055464" w:rsidRPr="00055464" w:rsidRDefault="00055464" w:rsidP="00055464">
      <w:r>
        <w:t>This additional invoice and report covers the added costs for analyses at sites 23T and 25T as well as field training, supplies, and support for the crew based out of St. Norbert College.</w:t>
      </w:r>
    </w:p>
    <w:p w:rsidR="00055464" w:rsidRDefault="00055464">
      <w:pPr>
        <w:rPr>
          <w:i/>
        </w:rPr>
      </w:pPr>
    </w:p>
    <w:p w:rsidR="008739DD" w:rsidRDefault="008739DD">
      <w:pPr>
        <w:rPr>
          <w:i/>
        </w:rPr>
      </w:pPr>
      <w:r w:rsidRPr="008739DD">
        <w:rPr>
          <w:i/>
        </w:rPr>
        <w:t>Sampling</w:t>
      </w:r>
    </w:p>
    <w:p w:rsidR="00E3706E" w:rsidRDefault="008739DD">
      <w:r>
        <w:t xml:space="preserve">Sampling for the project </w:t>
      </w:r>
      <w:r w:rsidR="00E3706E">
        <w:t xml:space="preserve">continued through </w:t>
      </w:r>
      <w:r w:rsidR="00EC4B02">
        <w:t>August</w:t>
      </w:r>
      <w:r w:rsidR="00E3706E">
        <w:t xml:space="preserve"> and </w:t>
      </w:r>
      <w:r w:rsidR="00EC4B02">
        <w:t>officially ended Oct 25, 2017. An active cyanobacterial bloom was present at Bay Beach and Joliet Park throughout October, as well as t</w:t>
      </w:r>
      <w:r w:rsidR="00055464">
        <w:t>h</w:t>
      </w:r>
      <w:r w:rsidR="00EC4B02">
        <w:t>e Fox River (site 16). Bi</w:t>
      </w:r>
      <w:r w:rsidR="006B796D">
        <w:t>-weekly samples</w:t>
      </w:r>
      <w:r w:rsidR="00EC4B02">
        <w:t xml:space="preserve"> were collected by NEW Water and St. Norbert’s</w:t>
      </w:r>
      <w:r w:rsidR="006B796D">
        <w:t xml:space="preserve"> at</w:t>
      </w:r>
      <w:r>
        <w:t xml:space="preserve"> Bay Beach and Joliet Park</w:t>
      </w:r>
      <w:r w:rsidR="006B796D">
        <w:t xml:space="preserve"> </w:t>
      </w:r>
      <w:r w:rsidR="00EC4B02">
        <w:t>and</w:t>
      </w:r>
      <w:r w:rsidR="006B796D">
        <w:t xml:space="preserve"> </w:t>
      </w:r>
      <w:r w:rsidR="00E3706E">
        <w:t>Site 23 and 25 were samp</w:t>
      </w:r>
      <w:r w:rsidR="00EC4B02">
        <w:t>led</w:t>
      </w:r>
      <w:r w:rsidR="00E3706E">
        <w:t xml:space="preserve"> sporadically when time and weather allowed by St. Norbert’s students. </w:t>
      </w:r>
      <w:r w:rsidR="00EC4B02">
        <w:t xml:space="preserve">In total, we collected 162 samples for the 2017 </w:t>
      </w:r>
      <w:proofErr w:type="spellStart"/>
      <w:r w:rsidR="00EC4B02">
        <w:t>cyanoHAB</w:t>
      </w:r>
      <w:proofErr w:type="spellEnd"/>
      <w:r w:rsidR="00EC4B02">
        <w:t xml:space="preserve"> season from 8 different sampling sites. </w:t>
      </w:r>
    </w:p>
    <w:p w:rsidR="00643085" w:rsidRDefault="00643085"/>
    <w:tbl>
      <w:tblPr>
        <w:tblStyle w:val="TableGrid"/>
        <w:tblW w:w="0" w:type="auto"/>
        <w:tblLook w:val="04A0" w:firstRow="1" w:lastRow="0" w:firstColumn="1" w:lastColumn="0" w:noHBand="0" w:noVBand="1"/>
      </w:tblPr>
      <w:tblGrid>
        <w:gridCol w:w="962"/>
        <w:gridCol w:w="1039"/>
        <w:gridCol w:w="1039"/>
        <w:gridCol w:w="1040"/>
        <w:gridCol w:w="1040"/>
        <w:gridCol w:w="1040"/>
        <w:gridCol w:w="1040"/>
        <w:gridCol w:w="1089"/>
        <w:gridCol w:w="1070"/>
      </w:tblGrid>
      <w:tr w:rsidR="00643085" w:rsidTr="00643085">
        <w:tc>
          <w:tcPr>
            <w:tcW w:w="953" w:type="dxa"/>
          </w:tcPr>
          <w:p w:rsidR="00643085" w:rsidRPr="00643085" w:rsidRDefault="00643085" w:rsidP="00643085">
            <w:pPr>
              <w:jc w:val="center"/>
              <w:rPr>
                <w:sz w:val="22"/>
                <w:szCs w:val="22"/>
              </w:rPr>
            </w:pPr>
            <w:r w:rsidRPr="00643085">
              <w:rPr>
                <w:sz w:val="22"/>
                <w:szCs w:val="22"/>
              </w:rPr>
              <w:t>Site</w:t>
            </w:r>
          </w:p>
        </w:tc>
        <w:tc>
          <w:tcPr>
            <w:tcW w:w="1039" w:type="dxa"/>
          </w:tcPr>
          <w:p w:rsidR="00643085" w:rsidRPr="00643085" w:rsidRDefault="00643085" w:rsidP="00643085">
            <w:pPr>
              <w:jc w:val="center"/>
              <w:rPr>
                <w:sz w:val="22"/>
                <w:szCs w:val="22"/>
              </w:rPr>
            </w:pPr>
            <w:r w:rsidRPr="00643085">
              <w:rPr>
                <w:sz w:val="22"/>
                <w:szCs w:val="22"/>
              </w:rPr>
              <w:t>16T</w:t>
            </w:r>
          </w:p>
        </w:tc>
        <w:tc>
          <w:tcPr>
            <w:tcW w:w="1039" w:type="dxa"/>
          </w:tcPr>
          <w:p w:rsidR="00643085" w:rsidRPr="00643085" w:rsidRDefault="00643085" w:rsidP="00643085">
            <w:pPr>
              <w:jc w:val="center"/>
              <w:rPr>
                <w:sz w:val="22"/>
                <w:szCs w:val="22"/>
              </w:rPr>
            </w:pPr>
            <w:r w:rsidRPr="00643085">
              <w:rPr>
                <w:sz w:val="22"/>
                <w:szCs w:val="22"/>
              </w:rPr>
              <w:t>22T</w:t>
            </w:r>
          </w:p>
        </w:tc>
        <w:tc>
          <w:tcPr>
            <w:tcW w:w="1040" w:type="dxa"/>
          </w:tcPr>
          <w:p w:rsidR="00643085" w:rsidRPr="00643085" w:rsidRDefault="00643085" w:rsidP="00643085">
            <w:pPr>
              <w:jc w:val="center"/>
              <w:rPr>
                <w:sz w:val="22"/>
                <w:szCs w:val="22"/>
              </w:rPr>
            </w:pPr>
            <w:r w:rsidRPr="00643085">
              <w:rPr>
                <w:sz w:val="22"/>
                <w:szCs w:val="22"/>
              </w:rPr>
              <w:t>32T</w:t>
            </w:r>
          </w:p>
        </w:tc>
        <w:tc>
          <w:tcPr>
            <w:tcW w:w="1040" w:type="dxa"/>
          </w:tcPr>
          <w:p w:rsidR="00643085" w:rsidRPr="00643085" w:rsidRDefault="00643085" w:rsidP="00643085">
            <w:pPr>
              <w:jc w:val="center"/>
              <w:rPr>
                <w:sz w:val="22"/>
                <w:szCs w:val="22"/>
              </w:rPr>
            </w:pPr>
            <w:r w:rsidRPr="00643085">
              <w:rPr>
                <w:sz w:val="22"/>
                <w:szCs w:val="22"/>
              </w:rPr>
              <w:t>41T</w:t>
            </w:r>
          </w:p>
        </w:tc>
        <w:tc>
          <w:tcPr>
            <w:tcW w:w="1040" w:type="dxa"/>
          </w:tcPr>
          <w:p w:rsidR="00643085" w:rsidRPr="00643085" w:rsidRDefault="00643085" w:rsidP="00643085">
            <w:pPr>
              <w:jc w:val="center"/>
              <w:rPr>
                <w:sz w:val="22"/>
                <w:szCs w:val="22"/>
              </w:rPr>
            </w:pPr>
            <w:r w:rsidRPr="00643085">
              <w:rPr>
                <w:sz w:val="22"/>
                <w:szCs w:val="22"/>
              </w:rPr>
              <w:t>23T</w:t>
            </w:r>
          </w:p>
        </w:tc>
        <w:tc>
          <w:tcPr>
            <w:tcW w:w="1040" w:type="dxa"/>
          </w:tcPr>
          <w:p w:rsidR="00643085" w:rsidRPr="00643085" w:rsidRDefault="00643085" w:rsidP="00643085">
            <w:pPr>
              <w:jc w:val="center"/>
              <w:rPr>
                <w:sz w:val="22"/>
                <w:szCs w:val="22"/>
              </w:rPr>
            </w:pPr>
            <w:r w:rsidRPr="00643085">
              <w:rPr>
                <w:sz w:val="22"/>
                <w:szCs w:val="22"/>
              </w:rPr>
              <w:t>25T</w:t>
            </w:r>
          </w:p>
        </w:tc>
        <w:tc>
          <w:tcPr>
            <w:tcW w:w="1089" w:type="dxa"/>
          </w:tcPr>
          <w:p w:rsidR="00643085" w:rsidRPr="00643085" w:rsidRDefault="00643085" w:rsidP="00643085">
            <w:pPr>
              <w:jc w:val="center"/>
              <w:rPr>
                <w:sz w:val="22"/>
                <w:szCs w:val="22"/>
              </w:rPr>
            </w:pPr>
            <w:r w:rsidRPr="00643085">
              <w:rPr>
                <w:sz w:val="22"/>
                <w:szCs w:val="22"/>
              </w:rPr>
              <w:t>Bay Beach</w:t>
            </w:r>
          </w:p>
        </w:tc>
        <w:tc>
          <w:tcPr>
            <w:tcW w:w="1070" w:type="dxa"/>
          </w:tcPr>
          <w:p w:rsidR="00643085" w:rsidRPr="00643085" w:rsidRDefault="00643085" w:rsidP="00643085">
            <w:pPr>
              <w:jc w:val="center"/>
              <w:rPr>
                <w:sz w:val="22"/>
                <w:szCs w:val="22"/>
              </w:rPr>
            </w:pPr>
            <w:r w:rsidRPr="00643085">
              <w:rPr>
                <w:sz w:val="22"/>
                <w:szCs w:val="22"/>
              </w:rPr>
              <w:t>Joliet Park</w:t>
            </w:r>
          </w:p>
        </w:tc>
      </w:tr>
      <w:tr w:rsidR="00643085" w:rsidTr="00643085">
        <w:tc>
          <w:tcPr>
            <w:tcW w:w="953" w:type="dxa"/>
          </w:tcPr>
          <w:p w:rsidR="00643085" w:rsidRPr="00643085" w:rsidRDefault="00643085" w:rsidP="00643085">
            <w:pPr>
              <w:jc w:val="center"/>
              <w:rPr>
                <w:sz w:val="22"/>
                <w:szCs w:val="22"/>
              </w:rPr>
            </w:pPr>
            <w:r>
              <w:rPr>
                <w:sz w:val="22"/>
                <w:szCs w:val="22"/>
              </w:rPr>
              <w:t xml:space="preserve">Number </w:t>
            </w:r>
            <w:r w:rsidRPr="00643085">
              <w:rPr>
                <w:sz w:val="22"/>
                <w:szCs w:val="22"/>
              </w:rPr>
              <w:t>Samples</w:t>
            </w:r>
          </w:p>
        </w:tc>
        <w:tc>
          <w:tcPr>
            <w:tcW w:w="1039" w:type="dxa"/>
          </w:tcPr>
          <w:p w:rsidR="00643085" w:rsidRPr="00643085" w:rsidRDefault="00643085" w:rsidP="00643085">
            <w:pPr>
              <w:jc w:val="center"/>
              <w:rPr>
                <w:sz w:val="22"/>
                <w:szCs w:val="22"/>
              </w:rPr>
            </w:pPr>
            <w:r w:rsidRPr="00643085">
              <w:rPr>
                <w:sz w:val="22"/>
                <w:szCs w:val="22"/>
              </w:rPr>
              <w:t>21</w:t>
            </w:r>
          </w:p>
        </w:tc>
        <w:tc>
          <w:tcPr>
            <w:tcW w:w="1039" w:type="dxa"/>
          </w:tcPr>
          <w:p w:rsidR="00643085" w:rsidRPr="00643085" w:rsidRDefault="00643085" w:rsidP="00643085">
            <w:pPr>
              <w:jc w:val="center"/>
              <w:rPr>
                <w:sz w:val="22"/>
                <w:szCs w:val="22"/>
              </w:rPr>
            </w:pPr>
            <w:r w:rsidRPr="00643085">
              <w:rPr>
                <w:sz w:val="22"/>
                <w:szCs w:val="22"/>
              </w:rPr>
              <w:t>19</w:t>
            </w:r>
          </w:p>
        </w:tc>
        <w:tc>
          <w:tcPr>
            <w:tcW w:w="1040" w:type="dxa"/>
          </w:tcPr>
          <w:p w:rsidR="00643085" w:rsidRPr="00643085" w:rsidRDefault="00643085" w:rsidP="00643085">
            <w:pPr>
              <w:jc w:val="center"/>
              <w:rPr>
                <w:sz w:val="22"/>
                <w:szCs w:val="22"/>
              </w:rPr>
            </w:pPr>
            <w:r w:rsidRPr="00643085">
              <w:rPr>
                <w:sz w:val="22"/>
                <w:szCs w:val="22"/>
              </w:rPr>
              <w:t>19</w:t>
            </w:r>
          </w:p>
        </w:tc>
        <w:tc>
          <w:tcPr>
            <w:tcW w:w="1040" w:type="dxa"/>
          </w:tcPr>
          <w:p w:rsidR="00643085" w:rsidRPr="00643085" w:rsidRDefault="00643085" w:rsidP="00643085">
            <w:pPr>
              <w:jc w:val="center"/>
              <w:rPr>
                <w:sz w:val="22"/>
                <w:szCs w:val="22"/>
              </w:rPr>
            </w:pPr>
            <w:r w:rsidRPr="00643085">
              <w:rPr>
                <w:sz w:val="22"/>
                <w:szCs w:val="22"/>
              </w:rPr>
              <w:t>19</w:t>
            </w:r>
          </w:p>
        </w:tc>
        <w:tc>
          <w:tcPr>
            <w:tcW w:w="1040" w:type="dxa"/>
          </w:tcPr>
          <w:p w:rsidR="00643085" w:rsidRPr="00643085" w:rsidRDefault="00643085" w:rsidP="00643085">
            <w:pPr>
              <w:jc w:val="center"/>
              <w:rPr>
                <w:sz w:val="22"/>
                <w:szCs w:val="22"/>
              </w:rPr>
            </w:pPr>
            <w:r w:rsidRPr="00643085">
              <w:rPr>
                <w:sz w:val="22"/>
                <w:szCs w:val="22"/>
              </w:rPr>
              <w:t>9</w:t>
            </w:r>
          </w:p>
        </w:tc>
        <w:tc>
          <w:tcPr>
            <w:tcW w:w="1040" w:type="dxa"/>
          </w:tcPr>
          <w:p w:rsidR="00643085" w:rsidRPr="00643085" w:rsidRDefault="00643085" w:rsidP="00643085">
            <w:pPr>
              <w:jc w:val="center"/>
              <w:rPr>
                <w:sz w:val="22"/>
                <w:szCs w:val="22"/>
              </w:rPr>
            </w:pPr>
            <w:r w:rsidRPr="00643085">
              <w:rPr>
                <w:sz w:val="22"/>
                <w:szCs w:val="22"/>
              </w:rPr>
              <w:t>8</w:t>
            </w:r>
          </w:p>
        </w:tc>
        <w:tc>
          <w:tcPr>
            <w:tcW w:w="1089" w:type="dxa"/>
          </w:tcPr>
          <w:p w:rsidR="00643085" w:rsidRPr="00643085" w:rsidRDefault="00643085" w:rsidP="00643085">
            <w:pPr>
              <w:jc w:val="center"/>
              <w:rPr>
                <w:sz w:val="22"/>
                <w:szCs w:val="22"/>
              </w:rPr>
            </w:pPr>
            <w:r w:rsidRPr="00643085">
              <w:rPr>
                <w:sz w:val="22"/>
                <w:szCs w:val="22"/>
              </w:rPr>
              <w:t>35</w:t>
            </w:r>
          </w:p>
        </w:tc>
        <w:tc>
          <w:tcPr>
            <w:tcW w:w="1070" w:type="dxa"/>
          </w:tcPr>
          <w:p w:rsidR="00643085" w:rsidRPr="00643085" w:rsidRDefault="00643085" w:rsidP="00643085">
            <w:pPr>
              <w:jc w:val="center"/>
              <w:rPr>
                <w:sz w:val="22"/>
                <w:szCs w:val="22"/>
              </w:rPr>
            </w:pPr>
            <w:r w:rsidRPr="00643085">
              <w:rPr>
                <w:sz w:val="22"/>
                <w:szCs w:val="22"/>
              </w:rPr>
              <w:t>36</w:t>
            </w:r>
          </w:p>
        </w:tc>
      </w:tr>
    </w:tbl>
    <w:p w:rsidR="008739DD" w:rsidRDefault="008739DD"/>
    <w:p w:rsidR="00F85EE2" w:rsidRDefault="00F36503">
      <w:r>
        <w:t>Samples continue</w:t>
      </w:r>
      <w:r w:rsidR="00E3706E">
        <w:t>d</w:t>
      </w:r>
      <w:r>
        <w:t xml:space="preserve"> to be collected for </w:t>
      </w:r>
      <w:proofErr w:type="spellStart"/>
      <w:r>
        <w:t>cyanotoxin</w:t>
      </w:r>
      <w:proofErr w:type="spellEnd"/>
      <w:r>
        <w:t xml:space="preserve"> analysis at UW-Milwaukee and algal enumeration </w:t>
      </w:r>
      <w:r w:rsidR="00E5274F">
        <w:t xml:space="preserve">at the State Lab of Hygiene, as well as </w:t>
      </w:r>
      <w:proofErr w:type="spellStart"/>
      <w:r w:rsidR="00E5274F">
        <w:t>phycocyanin</w:t>
      </w:r>
      <w:proofErr w:type="spellEnd"/>
      <w:r w:rsidR="00E5274F">
        <w:t xml:space="preserve">, chlorophyll-a, nutrient and other </w:t>
      </w:r>
      <w:proofErr w:type="spellStart"/>
      <w:r w:rsidR="00E5274F">
        <w:t>limnological</w:t>
      </w:r>
      <w:proofErr w:type="spellEnd"/>
      <w:r w:rsidR="00E5274F">
        <w:t xml:space="preserve"> variable measurements at NEW Water.  </w:t>
      </w:r>
    </w:p>
    <w:p w:rsidR="00E03098" w:rsidRDefault="00E03098"/>
    <w:p w:rsidR="00E03098" w:rsidRPr="00E03098" w:rsidRDefault="00E03098">
      <w:pPr>
        <w:rPr>
          <w:i/>
        </w:rPr>
      </w:pPr>
      <w:r w:rsidRPr="00E03098">
        <w:rPr>
          <w:i/>
        </w:rPr>
        <w:t>Continuous Monitoring Station</w:t>
      </w:r>
    </w:p>
    <w:p w:rsidR="00E03098" w:rsidRPr="008739DD" w:rsidRDefault="00EC4B02">
      <w:r>
        <w:t>The</w:t>
      </w:r>
      <w:r w:rsidR="00F36503">
        <w:t xml:space="preserve"> Entrance Light continuous monitoring station </w:t>
      </w:r>
      <w:r>
        <w:t>was retrieved October 4</w:t>
      </w:r>
      <w:r w:rsidRPr="00EC4B02">
        <w:rPr>
          <w:vertAlign w:val="superscript"/>
        </w:rPr>
        <w:t>th</w:t>
      </w:r>
      <w:r>
        <w:t xml:space="preserve"> and due to dredging at the mouth of the Fox River, the Fox River station needed to be retrieved Aug 23 and was not redeployed due to dredging. S</w:t>
      </w:r>
      <w:r w:rsidR="00F36503">
        <w:t xml:space="preserve">ensors </w:t>
      </w:r>
      <w:r>
        <w:t>were</w:t>
      </w:r>
      <w:r w:rsidR="00F36503">
        <w:t xml:space="preserve"> performing as expected and </w:t>
      </w:r>
      <w:r>
        <w:t xml:space="preserve">the 2017 </w:t>
      </w:r>
      <w:r w:rsidR="00F36503">
        <w:t xml:space="preserve">data will be analyzed in the off-season. </w:t>
      </w:r>
    </w:p>
    <w:sectPr w:rsidR="00E03098" w:rsidRPr="00873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DD"/>
    <w:rsid w:val="00044A33"/>
    <w:rsid w:val="00055464"/>
    <w:rsid w:val="00083510"/>
    <w:rsid w:val="00130DFB"/>
    <w:rsid w:val="00532B00"/>
    <w:rsid w:val="00643085"/>
    <w:rsid w:val="00656471"/>
    <w:rsid w:val="00680A1B"/>
    <w:rsid w:val="006B796D"/>
    <w:rsid w:val="008739DD"/>
    <w:rsid w:val="008A4737"/>
    <w:rsid w:val="00B134DC"/>
    <w:rsid w:val="00E03098"/>
    <w:rsid w:val="00E3706E"/>
    <w:rsid w:val="00E5274F"/>
    <w:rsid w:val="00EC4B02"/>
    <w:rsid w:val="00F36503"/>
    <w:rsid w:val="00F85EE2"/>
    <w:rsid w:val="00FB1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5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5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NewWater</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Bartlett, Sarah</dc:creator>
  <cp:lastModifiedBy>Samuel Wettach</cp:lastModifiedBy>
  <cp:revision>2</cp:revision>
  <cp:lastPrinted>2017-12-13T14:23:00Z</cp:lastPrinted>
  <dcterms:created xsi:type="dcterms:W3CDTF">2017-12-13T14:59:00Z</dcterms:created>
  <dcterms:modified xsi:type="dcterms:W3CDTF">2017-12-13T14:59:00Z</dcterms:modified>
</cp:coreProperties>
</file>