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AC1B7" w14:textId="77777777" w:rsidR="009D5DC9" w:rsidRDefault="009D5DC9" w:rsidP="009D5DC9">
      <w:pPr>
        <w:pBdr>
          <w:bottom w:val="single" w:sz="4" w:space="1" w:color="auto"/>
        </w:pBdr>
        <w:jc w:val="center"/>
        <w:rPr>
          <w:b/>
          <w:sz w:val="28"/>
        </w:rPr>
      </w:pPr>
    </w:p>
    <w:p w14:paraId="5E164FC3" w14:textId="77777777" w:rsidR="00CD0A6D" w:rsidRPr="00CD0A6D" w:rsidRDefault="00CD0A6D" w:rsidP="00CD0A6D"/>
    <w:p w14:paraId="18FED438" w14:textId="77777777" w:rsidR="009D5DC9" w:rsidRPr="009D5DC9" w:rsidRDefault="009D5DC9" w:rsidP="009D5DC9">
      <w:pPr>
        <w:pBdr>
          <w:bottom w:val="single" w:sz="4" w:space="1" w:color="auto"/>
        </w:pBdr>
        <w:jc w:val="center"/>
        <w:rPr>
          <w:b/>
          <w:sz w:val="28"/>
        </w:rPr>
      </w:pPr>
      <w:r w:rsidRPr="009D5DC9">
        <w:rPr>
          <w:b/>
          <w:sz w:val="28"/>
        </w:rPr>
        <w:t>Scope of Work</w:t>
      </w:r>
    </w:p>
    <w:p w14:paraId="03201CCC" w14:textId="77777777" w:rsidR="009D5DC9" w:rsidRDefault="00CF7FC6" w:rsidP="009D5DC9">
      <w:pPr>
        <w:pBdr>
          <w:bottom w:val="single" w:sz="4" w:space="1" w:color="auto"/>
        </w:pBdr>
        <w:jc w:val="center"/>
        <w:rPr>
          <w:b/>
        </w:rPr>
      </w:pPr>
      <w:r>
        <w:rPr>
          <w:b/>
        </w:rPr>
        <w:t xml:space="preserve">Wisconsin DNR Office of the Great </w:t>
      </w:r>
      <w:r w:rsidR="009D5DC9">
        <w:rPr>
          <w:b/>
        </w:rPr>
        <w:t>Waters</w:t>
      </w:r>
    </w:p>
    <w:p w14:paraId="01FD7749" w14:textId="77777777" w:rsidR="00F648A0" w:rsidRDefault="00F648A0" w:rsidP="009D5DC9">
      <w:pPr>
        <w:pBdr>
          <w:bottom w:val="single" w:sz="4" w:space="1" w:color="auto"/>
        </w:pBdr>
        <w:jc w:val="center"/>
        <w:rPr>
          <w:b/>
        </w:rPr>
      </w:pPr>
    </w:p>
    <w:p w14:paraId="73D5CF56" w14:textId="77777777" w:rsidR="004A12F7" w:rsidRDefault="004A12F7" w:rsidP="004A12F7"/>
    <w:p w14:paraId="6C800055" w14:textId="77777777" w:rsidR="00643015" w:rsidRDefault="004A12F7" w:rsidP="004A12F7">
      <w:pPr>
        <w:rPr>
          <w:b/>
          <w:i/>
        </w:rPr>
      </w:pPr>
      <w:r w:rsidRPr="00B55289">
        <w:rPr>
          <w:b/>
          <w:i/>
        </w:rPr>
        <w:t>Project Title</w:t>
      </w:r>
      <w:r w:rsidRPr="00C954D3">
        <w:rPr>
          <w:b/>
          <w:i/>
          <w:sz w:val="22"/>
          <w:szCs w:val="22"/>
        </w:rPr>
        <w:t>:</w:t>
      </w:r>
      <w:r w:rsidR="00C954D3" w:rsidRPr="00C954D3">
        <w:rPr>
          <w:b/>
          <w:i/>
          <w:sz w:val="22"/>
          <w:szCs w:val="22"/>
        </w:rPr>
        <w:t xml:space="preserve"> </w:t>
      </w:r>
      <w:r w:rsidR="00C954D3" w:rsidRPr="00C954D3">
        <w:rPr>
          <w:rFonts w:cs="Calibri"/>
          <w:noProof/>
          <w:color w:val="000000"/>
          <w:sz w:val="22"/>
          <w:szCs w:val="22"/>
        </w:rPr>
        <w:t>Big-I Development Restoration Project-Chiwaukee Prairie Preserve</w:t>
      </w:r>
    </w:p>
    <w:p w14:paraId="0599BD63" w14:textId="77777777" w:rsidR="004A12F7" w:rsidRDefault="004A12F7" w:rsidP="004A12F7"/>
    <w:p w14:paraId="76031FDB" w14:textId="77777777" w:rsidR="005F690A" w:rsidRDefault="004A16D8" w:rsidP="00CD0A6D">
      <w:pPr>
        <w:pStyle w:val="Default"/>
        <w:rPr>
          <w:sz w:val="22"/>
          <w:szCs w:val="22"/>
        </w:rPr>
      </w:pPr>
      <w:r>
        <w:rPr>
          <w:b/>
          <w:i/>
        </w:rPr>
        <w:t>Project Manager</w:t>
      </w:r>
      <w:r w:rsidR="004A12F7">
        <w:rPr>
          <w:b/>
          <w:i/>
        </w:rPr>
        <w:t>:</w:t>
      </w:r>
      <w:r w:rsidR="003705E4" w:rsidRPr="003705E4">
        <w:rPr>
          <w:sz w:val="22"/>
          <w:szCs w:val="22"/>
        </w:rPr>
        <w:t xml:space="preserve"> </w:t>
      </w:r>
      <w:r w:rsidR="003705E4">
        <w:rPr>
          <w:sz w:val="22"/>
          <w:szCs w:val="22"/>
        </w:rPr>
        <w:tab/>
      </w:r>
      <w:r w:rsidR="00C954D3">
        <w:rPr>
          <w:sz w:val="22"/>
          <w:szCs w:val="22"/>
        </w:rPr>
        <w:t xml:space="preserve">Stephanie Judge, Land Protection </w:t>
      </w:r>
      <w:r w:rsidR="00C954D3" w:rsidRPr="000B2DB7">
        <w:rPr>
          <w:sz w:val="22"/>
          <w:szCs w:val="22"/>
        </w:rPr>
        <w:t xml:space="preserve">Specialist, The Nature Conservancy, 633 West Main Street, Madison, WI 53703, 608-316-6445, </w:t>
      </w:r>
      <w:hyperlink r:id="rId6" w:history="1">
        <w:r w:rsidR="00C954D3" w:rsidRPr="000B2DB7">
          <w:rPr>
            <w:rStyle w:val="Hyperlink"/>
            <w:sz w:val="22"/>
            <w:szCs w:val="22"/>
          </w:rPr>
          <w:t>sjudge@tnc.org</w:t>
        </w:r>
      </w:hyperlink>
      <w:r w:rsidR="00C954D3" w:rsidRPr="000B2DB7">
        <w:rPr>
          <w:sz w:val="22"/>
          <w:szCs w:val="22"/>
        </w:rPr>
        <w:t xml:space="preserve">. </w:t>
      </w:r>
      <w:r w:rsidR="000B2DB7" w:rsidRPr="000B2DB7">
        <w:rPr>
          <w:sz w:val="22"/>
          <w:szCs w:val="22"/>
        </w:rPr>
        <w:t xml:space="preserve">Ricki Disdier, Senior Grant Specialist, 1101 West River Parkway, Suite 200, Minneapolis, MN  55415, 612-331-0713, </w:t>
      </w:r>
      <w:hyperlink r:id="rId7" w:history="1">
        <w:r w:rsidR="005F690A" w:rsidRPr="00B454A7">
          <w:rPr>
            <w:rStyle w:val="Hyperlink"/>
            <w:sz w:val="22"/>
            <w:szCs w:val="22"/>
          </w:rPr>
          <w:t>Ricki_disdier@tnc.org</w:t>
        </w:r>
      </w:hyperlink>
      <w:r w:rsidR="005F690A">
        <w:rPr>
          <w:sz w:val="22"/>
          <w:szCs w:val="22"/>
        </w:rPr>
        <w:t>.</w:t>
      </w:r>
    </w:p>
    <w:p w14:paraId="70EA0ACB" w14:textId="77777777" w:rsidR="004A12F7" w:rsidRPr="00E637C8" w:rsidRDefault="000B2DB7" w:rsidP="005F690A">
      <w:pPr>
        <w:pStyle w:val="Default"/>
        <w:rPr>
          <w:i/>
        </w:rPr>
      </w:pPr>
      <w:r w:rsidRPr="000B2DB7">
        <w:rPr>
          <w:sz w:val="22"/>
          <w:szCs w:val="22"/>
        </w:rPr>
        <w:t xml:space="preserve"> </w:t>
      </w:r>
    </w:p>
    <w:p w14:paraId="5DACFFDC" w14:textId="77777777" w:rsidR="00CF6B20" w:rsidRDefault="009D5DC9" w:rsidP="00CF6B20">
      <w:pPr>
        <w:pStyle w:val="Default"/>
        <w:rPr>
          <w:sz w:val="22"/>
          <w:szCs w:val="22"/>
        </w:rPr>
      </w:pPr>
      <w:r>
        <w:rPr>
          <w:b/>
          <w:i/>
        </w:rPr>
        <w:t xml:space="preserve">WDNR </w:t>
      </w:r>
      <w:r w:rsidR="003705E4">
        <w:rPr>
          <w:b/>
          <w:i/>
        </w:rPr>
        <w:t>Project Manager</w:t>
      </w:r>
      <w:r w:rsidR="004A12F7">
        <w:rPr>
          <w:b/>
          <w:i/>
        </w:rPr>
        <w:t>:</w:t>
      </w:r>
      <w:r w:rsidR="003705E4">
        <w:rPr>
          <w:b/>
          <w:i/>
        </w:rPr>
        <w:tab/>
      </w:r>
      <w:r w:rsidR="00C954D3">
        <w:rPr>
          <w:sz w:val="22"/>
          <w:szCs w:val="22"/>
        </w:rPr>
        <w:t xml:space="preserve">Sharon Fandel, Conservation Biologist, 608-275-3207, </w:t>
      </w:r>
      <w:hyperlink r:id="rId8" w:history="1">
        <w:r w:rsidR="00C954D3" w:rsidRPr="00B815F7">
          <w:rPr>
            <w:rStyle w:val="Hyperlink"/>
            <w:sz w:val="22"/>
            <w:szCs w:val="22"/>
          </w:rPr>
          <w:t>Sharon.fandel@wisconsin.gov</w:t>
        </w:r>
      </w:hyperlink>
      <w:r w:rsidR="00C954D3">
        <w:rPr>
          <w:sz w:val="22"/>
          <w:szCs w:val="22"/>
        </w:rPr>
        <w:t xml:space="preserve">. </w:t>
      </w:r>
    </w:p>
    <w:p w14:paraId="50E08D56" w14:textId="77777777" w:rsidR="003705E4" w:rsidRDefault="003705E4" w:rsidP="004A12F7">
      <w:pPr>
        <w:rPr>
          <w:b/>
          <w:i/>
        </w:rPr>
      </w:pPr>
    </w:p>
    <w:p w14:paraId="519B0418" w14:textId="77777777" w:rsidR="00BB18EA" w:rsidRDefault="004A12F7" w:rsidP="004A12F7">
      <w:r>
        <w:rPr>
          <w:b/>
          <w:i/>
        </w:rPr>
        <w:t>Project Location:</w:t>
      </w:r>
      <w:r>
        <w:t xml:space="preserve">  </w:t>
      </w:r>
    </w:p>
    <w:p w14:paraId="42F8DD1E" w14:textId="77777777" w:rsidR="00BB18EA" w:rsidRDefault="00BB18EA" w:rsidP="004A12F7"/>
    <w:p w14:paraId="60479DEA" w14:textId="77777777" w:rsidR="004A12F7" w:rsidRPr="00C954D3" w:rsidRDefault="00C954D3" w:rsidP="00C954D3">
      <w:pPr>
        <w:pStyle w:val="ListParagraph"/>
        <w:spacing w:after="200"/>
        <w:ind w:left="0"/>
        <w:rPr>
          <w:sz w:val="22"/>
          <w:szCs w:val="22"/>
        </w:rPr>
      </w:pPr>
      <w:r>
        <w:t xml:space="preserve">The </w:t>
      </w:r>
      <w:r w:rsidRPr="00C954D3">
        <w:rPr>
          <w:sz w:val="22"/>
          <w:szCs w:val="22"/>
        </w:rPr>
        <w:t>Big-I Development restoration project is located along the east side of Sheridan Road (STH 32), north of 128</w:t>
      </w:r>
      <w:r w:rsidRPr="00C954D3">
        <w:rPr>
          <w:sz w:val="22"/>
          <w:szCs w:val="22"/>
          <w:vertAlign w:val="superscript"/>
        </w:rPr>
        <w:t>th</w:t>
      </w:r>
      <w:r w:rsidRPr="00C954D3">
        <w:rPr>
          <w:sz w:val="22"/>
          <w:szCs w:val="22"/>
        </w:rPr>
        <w:t xml:space="preserve"> Street in the Village of Pleasant Prairie, Kenosha County, Wisconsin.  It lies just north of the Wisconsin-Illinois border.  T1N, R23E, Section 31 (SE Quarter).  Lat/Long: -87.82 and 42.5. Pike-Root Watershed - HUC 04040002. </w:t>
      </w:r>
    </w:p>
    <w:p w14:paraId="368207EE" w14:textId="77777777" w:rsidR="00BB18EA" w:rsidRDefault="004A12F7" w:rsidP="004A12F7">
      <w:r w:rsidRPr="00B55289">
        <w:rPr>
          <w:b/>
          <w:i/>
        </w:rPr>
        <w:t xml:space="preserve">Problem Statement: </w:t>
      </w:r>
      <w:r>
        <w:t xml:space="preserve"> </w:t>
      </w:r>
    </w:p>
    <w:p w14:paraId="3576FAD8" w14:textId="77777777" w:rsidR="00BB18EA" w:rsidRDefault="00BB18EA" w:rsidP="004A12F7"/>
    <w:p w14:paraId="308211F4" w14:textId="77777777" w:rsidR="004A12F7" w:rsidRPr="00A81549" w:rsidRDefault="00A81549" w:rsidP="00A81549">
      <w:pPr>
        <w:pStyle w:val="ListParagraph"/>
        <w:spacing w:after="200"/>
        <w:ind w:left="0"/>
        <w:rPr>
          <w:sz w:val="22"/>
          <w:szCs w:val="22"/>
        </w:rPr>
      </w:pPr>
      <w:r w:rsidRPr="00A81549">
        <w:rPr>
          <w:rFonts w:eastAsia="Calibri"/>
          <w:sz w:val="22"/>
          <w:szCs w:val="22"/>
        </w:rPr>
        <w:t xml:space="preserve">The </w:t>
      </w:r>
      <w:r w:rsidRPr="00A81549">
        <w:rPr>
          <w:sz w:val="22"/>
          <w:szCs w:val="22"/>
        </w:rPr>
        <w:t xml:space="preserve">Big-I Development restoration </w:t>
      </w:r>
      <w:r w:rsidRPr="00A81549">
        <w:rPr>
          <w:rFonts w:eastAsia="Calibri"/>
          <w:sz w:val="22"/>
          <w:szCs w:val="22"/>
        </w:rPr>
        <w:t>project will result in the restoration and enhancement of approximately 33.33 acres of coastal wetlands and 25.35 acres of native prairie and other upland habitat. The project’s primary goal is protecting the highly sensitive hydrology of the Chiwaukee Prairie wetland complex to the east</w:t>
      </w:r>
      <w:r w:rsidRPr="00A81549">
        <w:rPr>
          <w:sz w:val="22"/>
          <w:szCs w:val="22"/>
        </w:rPr>
        <w:t xml:space="preserve"> that is part of the Lake Plain coastal shore of Lake Michigan and hosts globally-rare wet-mesic lake plain prairie. Wetland and grassland habitat improvements at the site will also provide critical habitat for migratory birds, support nesting of Blanding’s turtles documented on site, and expand public recreational opportunities across the Preserve. </w:t>
      </w:r>
    </w:p>
    <w:p w14:paraId="08F77D2F" w14:textId="77777777" w:rsidR="00BB18EA" w:rsidRDefault="004A12F7" w:rsidP="00CF6B20">
      <w:pPr>
        <w:keepNext/>
      </w:pPr>
      <w:r w:rsidRPr="00B55289">
        <w:rPr>
          <w:b/>
          <w:i/>
        </w:rPr>
        <w:t>Proposed Work:</w:t>
      </w:r>
      <w:r>
        <w:t xml:space="preserve"> </w:t>
      </w:r>
    </w:p>
    <w:p w14:paraId="198A28C0" w14:textId="77777777" w:rsidR="00BB18EA" w:rsidRDefault="00BB18EA" w:rsidP="00CF6B20">
      <w:pPr>
        <w:keepNext/>
      </w:pPr>
    </w:p>
    <w:p w14:paraId="644A1BD3" w14:textId="77777777" w:rsidR="00A81549" w:rsidRPr="00A81549" w:rsidRDefault="00A81549" w:rsidP="00A81549">
      <w:pPr>
        <w:contextualSpacing/>
        <w:rPr>
          <w:sz w:val="22"/>
          <w:szCs w:val="22"/>
        </w:rPr>
      </w:pPr>
      <w:r w:rsidRPr="00A81549">
        <w:rPr>
          <w:sz w:val="22"/>
          <w:szCs w:val="22"/>
        </w:rPr>
        <w:t xml:space="preserve">Site preparation for the proposed wetland restoration and enhancement project is expected to be intensive and will include clearing of undesirable tree and brush species and control of invasive plants. The primary invasive species found on the property include buckthorn, honeysuckle, oriental bittersweet, garlic mustard, dame’s rocket, and reed canary grass. These populations are largely occurring within the existing wetland areas or along the railroad grade and other wooded portions of the property covering about a 21-acre area. The remainder of the property (approximately 38 acres) is currently being used for agriculture and all crops planted on the site will be harvested prior to initiation of the project. </w:t>
      </w:r>
    </w:p>
    <w:p w14:paraId="0A1A51D6" w14:textId="77777777" w:rsidR="00A81549" w:rsidRPr="00A81549" w:rsidRDefault="00A81549" w:rsidP="00A81549">
      <w:pPr>
        <w:ind w:left="180"/>
        <w:contextualSpacing/>
        <w:rPr>
          <w:sz w:val="22"/>
          <w:szCs w:val="22"/>
        </w:rPr>
      </w:pPr>
    </w:p>
    <w:p w14:paraId="2EC22C9A" w14:textId="77777777" w:rsidR="00A81549" w:rsidRPr="00A81549" w:rsidRDefault="00A81549" w:rsidP="00A81549">
      <w:pPr>
        <w:contextualSpacing/>
        <w:rPr>
          <w:sz w:val="22"/>
          <w:szCs w:val="22"/>
        </w:rPr>
      </w:pPr>
      <w:r w:rsidRPr="00A81549">
        <w:rPr>
          <w:sz w:val="22"/>
          <w:szCs w:val="22"/>
        </w:rPr>
        <w:t xml:space="preserve">Wetland restoration activities will primarily include ditch fills, tile breaks, and shallow scrapes to restore wetland hydrology, as well as planting of native prairie species. Construction methods will consist of the use of heavy equipment to strip the material off adjacent croplands to fill ditches and achieve the desired elevations to restore hydrology on the site. Wide track, low pressure equipment will be used to construct the site to avoid or reduce soil compaction. </w:t>
      </w:r>
    </w:p>
    <w:p w14:paraId="6A35C9B6" w14:textId="77777777" w:rsidR="00A81549" w:rsidRPr="00A81549" w:rsidRDefault="00A81549" w:rsidP="00A81549">
      <w:pPr>
        <w:ind w:left="180"/>
        <w:contextualSpacing/>
        <w:rPr>
          <w:sz w:val="22"/>
          <w:szCs w:val="22"/>
        </w:rPr>
      </w:pPr>
    </w:p>
    <w:p w14:paraId="2C884D0B" w14:textId="77777777" w:rsidR="00A81549" w:rsidRPr="00A81549" w:rsidRDefault="00A81549" w:rsidP="00A81549">
      <w:pPr>
        <w:contextualSpacing/>
        <w:rPr>
          <w:sz w:val="22"/>
          <w:szCs w:val="22"/>
          <w:highlight w:val="yellow"/>
        </w:rPr>
      </w:pPr>
      <w:r w:rsidRPr="00A81549">
        <w:rPr>
          <w:sz w:val="22"/>
          <w:szCs w:val="22"/>
        </w:rPr>
        <w:t xml:space="preserve">Planting will occur immediately after construction. The plantings will include native species common to the area which are suitable for growth in the saturated conditions for the target wetland community. Native mesic </w:t>
      </w:r>
      <w:r w:rsidRPr="00A81549">
        <w:rPr>
          <w:sz w:val="22"/>
          <w:szCs w:val="22"/>
        </w:rPr>
        <w:lastRenderedPageBreak/>
        <w:t xml:space="preserve">prairie vegetation will be established as a functional vegetated buffer adjacent to the re-established wetland communities to protect wetland functions and services, maintain water quality, provide habitat, and reduce impacts from invasive species. The site will be monitored to ensure that the desired hydrology and plant communities have been achieved and that buffers areas are dominated by a diversity of native, non-invasive plant species. The prairie plantings will be mowed for at least two growing seasons as part of the post-construction maintenance of the site and a treatment plan will be implemented to control the spread of invasive plant species. </w:t>
      </w:r>
    </w:p>
    <w:p w14:paraId="0400777E" w14:textId="77777777" w:rsidR="00A81549" w:rsidRPr="00A81549" w:rsidRDefault="00A81549" w:rsidP="00A81549">
      <w:pPr>
        <w:ind w:left="180"/>
        <w:contextualSpacing/>
        <w:rPr>
          <w:sz w:val="22"/>
          <w:szCs w:val="22"/>
          <w:highlight w:val="yellow"/>
        </w:rPr>
      </w:pPr>
    </w:p>
    <w:p w14:paraId="20F4BDBE" w14:textId="77777777" w:rsidR="00A81549" w:rsidRPr="00A81549" w:rsidRDefault="00A81549" w:rsidP="00A81549">
      <w:pPr>
        <w:contextualSpacing/>
        <w:rPr>
          <w:sz w:val="22"/>
          <w:szCs w:val="22"/>
        </w:rPr>
      </w:pPr>
      <w:r w:rsidRPr="00A81549">
        <w:rPr>
          <w:sz w:val="22"/>
          <w:szCs w:val="22"/>
        </w:rPr>
        <w:t xml:space="preserve">Wetland enhancement activities within the existing wooded wetlands on the property will primarily include extensive tree and brush removal and invasive species control. Inter-seeding may be necessary to restore groundcover once the canopy is opened to prevent encroachment of invasive species while native plants are becoming re-established. All undesirable species will be cut and/or chemically treated using methods that will not result in soil disturbances. In order to control the spread of invasive plant species, a treatment plan will be implemented to ensure the success of the wetland enhancement work. </w:t>
      </w:r>
    </w:p>
    <w:p w14:paraId="681FF8DD" w14:textId="77777777" w:rsidR="004A12F7" w:rsidRDefault="004A12F7" w:rsidP="004A12F7">
      <w:pPr>
        <w:rPr>
          <w:b/>
          <w:i/>
        </w:rPr>
      </w:pPr>
    </w:p>
    <w:p w14:paraId="2D9B2422" w14:textId="77777777" w:rsidR="00BB18EA" w:rsidRDefault="00071256" w:rsidP="00043516">
      <w:pPr>
        <w:rPr>
          <w:b/>
          <w:i/>
        </w:rPr>
      </w:pPr>
      <w:r>
        <w:rPr>
          <w:b/>
          <w:i/>
        </w:rPr>
        <w:t>Collaboration with P</w:t>
      </w:r>
      <w:r w:rsidR="004A12F7">
        <w:rPr>
          <w:b/>
          <w:i/>
        </w:rPr>
        <w:t xml:space="preserve">artners:  </w:t>
      </w:r>
    </w:p>
    <w:p w14:paraId="33C5EAC5" w14:textId="77777777" w:rsidR="00BB18EA" w:rsidRDefault="00BB18EA" w:rsidP="00043516">
      <w:pPr>
        <w:rPr>
          <w:b/>
          <w:i/>
        </w:rPr>
      </w:pPr>
    </w:p>
    <w:p w14:paraId="4ACC46CE" w14:textId="77777777" w:rsidR="00A81549" w:rsidRPr="00A81549" w:rsidRDefault="00A81549" w:rsidP="00A81549">
      <w:pPr>
        <w:contextualSpacing/>
        <w:rPr>
          <w:sz w:val="22"/>
          <w:szCs w:val="22"/>
        </w:rPr>
      </w:pPr>
      <w:r w:rsidRPr="00A81549">
        <w:rPr>
          <w:sz w:val="22"/>
          <w:szCs w:val="22"/>
        </w:rPr>
        <w:t>TNC will oversee the restoration of this site in partnership with the U.S. Fish and Wildlife Service (USFWS) Private Lands Program. TNC will contract with USFWS to provide technical assistance in the design and construction of the project. Other contracts for work needed to complete the planned restoration activities will be secured through a competitive bidding process.</w:t>
      </w:r>
    </w:p>
    <w:p w14:paraId="19C5325E" w14:textId="77777777" w:rsidR="00021B25" w:rsidRDefault="00021B25" w:rsidP="00021B25"/>
    <w:p w14:paraId="3D29F858" w14:textId="77777777" w:rsidR="00BB18EA" w:rsidRDefault="004A12F7" w:rsidP="00021B25">
      <w:pPr>
        <w:rPr>
          <w:b/>
          <w:i/>
        </w:rPr>
      </w:pPr>
      <w:r>
        <w:rPr>
          <w:b/>
          <w:i/>
        </w:rPr>
        <w:t>Timetable:</w:t>
      </w:r>
    </w:p>
    <w:p w14:paraId="0E292AA7" w14:textId="77777777" w:rsidR="00BB18EA" w:rsidRDefault="00331DF5" w:rsidP="00021B25">
      <w:pPr>
        <w:rPr>
          <w:b/>
          <w:i/>
        </w:rPr>
      </w:pPr>
      <w:r>
        <w:rPr>
          <w:b/>
          <w:i/>
          <w:noProof/>
        </w:rPr>
        <mc:AlternateContent>
          <mc:Choice Requires="wps">
            <w:drawing>
              <wp:anchor distT="0" distB="0" distL="114300" distR="114300" simplePos="0" relativeHeight="251659264" behindDoc="0" locked="0" layoutInCell="1" allowOverlap="1" wp14:anchorId="369AA123" wp14:editId="65247F39">
                <wp:simplePos x="0" y="0"/>
                <wp:positionH relativeFrom="column">
                  <wp:posOffset>38100</wp:posOffset>
                </wp:positionH>
                <wp:positionV relativeFrom="paragraph">
                  <wp:posOffset>103505</wp:posOffset>
                </wp:positionV>
                <wp:extent cx="6477000" cy="21488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6477000" cy="2148840"/>
                        </a:xfrm>
                        <a:prstGeom prst="rect">
                          <a:avLst/>
                        </a:prstGeom>
                        <a:solidFill>
                          <a:schemeClr val="lt1"/>
                        </a:solidFill>
                        <a:ln w="6350">
                          <a:noFill/>
                        </a:ln>
                      </wps:spPr>
                      <wps:txbx>
                        <w:txbxContent>
                          <w:p w14:paraId="5F8E40A3" w14:textId="77777777" w:rsidR="00331DF5" w:rsidRDefault="00590D58">
                            <w:r>
                              <w:rPr>
                                <w:noProof/>
                              </w:rPr>
                              <w:drawing>
                                <wp:inline distT="0" distB="0" distL="0" distR="0" wp14:anchorId="28A3E5D8" wp14:editId="32B55228">
                                  <wp:extent cx="6287770" cy="2048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i timeline.jpg"/>
                                          <pic:cNvPicPr/>
                                        </pic:nvPicPr>
                                        <pic:blipFill>
                                          <a:blip r:embed="rId9">
                                            <a:extLst>
                                              <a:ext uri="{28A0092B-C50C-407E-A947-70E740481C1C}">
                                                <a14:useLocalDpi xmlns:a14="http://schemas.microsoft.com/office/drawing/2010/main" val="0"/>
                                              </a:ext>
                                            </a:extLst>
                                          </a:blip>
                                          <a:stretch>
                                            <a:fillRect/>
                                          </a:stretch>
                                        </pic:blipFill>
                                        <pic:spPr>
                                          <a:xfrm>
                                            <a:off x="0" y="0"/>
                                            <a:ext cx="6287770" cy="2048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9AA123" id="_x0000_t202" coordsize="21600,21600" o:spt="202" path="m,l,21600r21600,l21600,xe">
                <v:stroke joinstyle="miter"/>
                <v:path gradientshapeok="t" o:connecttype="rect"/>
              </v:shapetype>
              <v:shape id="Text Box 1" o:spid="_x0000_s1026" type="#_x0000_t202" style="position:absolute;margin-left:3pt;margin-top:8.15pt;width:510pt;height:16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" fillcolor="white [3201]" stroked="f" strokeweight=".5pt">
                <v:textbox>
                  <w:txbxContent>
                    <w:p w14:paraId="5F8E40A3" w14:textId="77777777" w:rsidR="00331DF5" w:rsidRDefault="00590D58">
                      <w:r>
                        <w:rPr>
                          <w:noProof/>
                        </w:rPr>
                        <w:drawing>
                          <wp:inline distT="0" distB="0" distL="0" distR="0" wp14:anchorId="28A3E5D8" wp14:editId="32B55228">
                            <wp:extent cx="6287770" cy="2048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i timeline.jpg"/>
                                    <pic:cNvPicPr/>
                                  </pic:nvPicPr>
                                  <pic:blipFill>
                                    <a:blip r:embed="rId9">
                                      <a:extLst>
                                        <a:ext uri="{28A0092B-C50C-407E-A947-70E740481C1C}">
                                          <a14:useLocalDpi xmlns:a14="http://schemas.microsoft.com/office/drawing/2010/main" val="0"/>
                                        </a:ext>
                                      </a:extLst>
                                    </a:blip>
                                    <a:stretch>
                                      <a:fillRect/>
                                    </a:stretch>
                                  </pic:blipFill>
                                  <pic:spPr>
                                    <a:xfrm>
                                      <a:off x="0" y="0"/>
                                      <a:ext cx="6287770" cy="2048510"/>
                                    </a:xfrm>
                                    <a:prstGeom prst="rect">
                                      <a:avLst/>
                                    </a:prstGeom>
                                  </pic:spPr>
                                </pic:pic>
                              </a:graphicData>
                            </a:graphic>
                          </wp:inline>
                        </w:drawing>
                      </w:r>
                    </w:p>
                  </w:txbxContent>
                </v:textbox>
              </v:shape>
            </w:pict>
          </mc:Fallback>
        </mc:AlternateContent>
      </w:r>
    </w:p>
    <w:p w14:paraId="5C56049C" w14:textId="77777777" w:rsidR="00A8081B" w:rsidRDefault="00A8081B" w:rsidP="00021B25">
      <w:pPr>
        <w:rPr>
          <w:b/>
          <w:i/>
        </w:rPr>
      </w:pPr>
    </w:p>
    <w:p w14:paraId="6AFBBA7F" w14:textId="77777777" w:rsidR="00331DF5" w:rsidRDefault="00331DF5" w:rsidP="00021B25">
      <w:pPr>
        <w:rPr>
          <w:b/>
          <w:i/>
        </w:rPr>
      </w:pPr>
    </w:p>
    <w:p w14:paraId="562E9492" w14:textId="77777777" w:rsidR="00331DF5" w:rsidRDefault="00331DF5" w:rsidP="00021B25">
      <w:pPr>
        <w:rPr>
          <w:b/>
          <w:i/>
        </w:rPr>
      </w:pPr>
    </w:p>
    <w:p w14:paraId="54067762" w14:textId="77777777" w:rsidR="00331DF5" w:rsidRDefault="00331DF5" w:rsidP="00021B25">
      <w:pPr>
        <w:rPr>
          <w:b/>
          <w:i/>
        </w:rPr>
      </w:pPr>
    </w:p>
    <w:p w14:paraId="171EDC58" w14:textId="77777777" w:rsidR="00331DF5" w:rsidRDefault="00331DF5" w:rsidP="00021B25">
      <w:pPr>
        <w:rPr>
          <w:b/>
          <w:i/>
        </w:rPr>
      </w:pPr>
    </w:p>
    <w:p w14:paraId="15F7EB78" w14:textId="77777777" w:rsidR="00331DF5" w:rsidRDefault="00331DF5" w:rsidP="00021B25">
      <w:pPr>
        <w:rPr>
          <w:b/>
          <w:i/>
        </w:rPr>
      </w:pPr>
    </w:p>
    <w:p w14:paraId="631129B7" w14:textId="77777777" w:rsidR="00331DF5" w:rsidRDefault="00331DF5" w:rsidP="00021B25">
      <w:pPr>
        <w:rPr>
          <w:b/>
          <w:i/>
        </w:rPr>
      </w:pPr>
    </w:p>
    <w:p w14:paraId="247A4A7E" w14:textId="77777777" w:rsidR="00331DF5" w:rsidRDefault="00331DF5" w:rsidP="00021B25">
      <w:pPr>
        <w:rPr>
          <w:b/>
          <w:i/>
        </w:rPr>
      </w:pPr>
    </w:p>
    <w:p w14:paraId="028884AA" w14:textId="77777777" w:rsidR="00331DF5" w:rsidRDefault="00331DF5" w:rsidP="00021B25">
      <w:pPr>
        <w:rPr>
          <w:b/>
          <w:i/>
        </w:rPr>
      </w:pPr>
    </w:p>
    <w:p w14:paraId="4A562CC6" w14:textId="77777777" w:rsidR="00331DF5" w:rsidRDefault="00331DF5" w:rsidP="00021B25">
      <w:pPr>
        <w:rPr>
          <w:b/>
          <w:i/>
        </w:rPr>
      </w:pPr>
    </w:p>
    <w:p w14:paraId="6700788E" w14:textId="77777777" w:rsidR="00331DF5" w:rsidRDefault="00331DF5" w:rsidP="00021B25">
      <w:pPr>
        <w:rPr>
          <w:b/>
          <w:i/>
        </w:rPr>
      </w:pPr>
    </w:p>
    <w:p w14:paraId="181DBB27" w14:textId="77777777" w:rsidR="00331DF5" w:rsidRDefault="00331DF5" w:rsidP="00021B25">
      <w:pPr>
        <w:rPr>
          <w:b/>
          <w:i/>
        </w:rPr>
      </w:pPr>
    </w:p>
    <w:p w14:paraId="47A1794B" w14:textId="77777777" w:rsidR="00BB18EA" w:rsidRDefault="004A12F7">
      <w:r w:rsidRPr="00C87F1F">
        <w:rPr>
          <w:b/>
          <w:i/>
        </w:rPr>
        <w:t>Deliverables</w:t>
      </w:r>
      <w:r w:rsidRPr="00C87F1F">
        <w:t>:</w:t>
      </w:r>
    </w:p>
    <w:p w14:paraId="18B71FF2" w14:textId="77777777" w:rsidR="00BB18EA" w:rsidRDefault="00BB18EA"/>
    <w:p w14:paraId="44513765" w14:textId="77777777" w:rsidR="00BD4204" w:rsidRPr="00590D58" w:rsidRDefault="00590D58">
      <w:pPr>
        <w:rPr>
          <w:sz w:val="22"/>
          <w:szCs w:val="22"/>
        </w:rPr>
      </w:pPr>
      <w:r w:rsidRPr="00590D58">
        <w:rPr>
          <w:sz w:val="22"/>
          <w:szCs w:val="22"/>
        </w:rPr>
        <w:t xml:space="preserve">Deliverables are identified in the table above and will include quarterly reports in addition to a final report. </w:t>
      </w:r>
      <w:r w:rsidR="00A61E20" w:rsidRPr="00942604">
        <w:rPr>
          <w:sz w:val="22"/>
          <w:szCs w:val="22"/>
        </w:rPr>
        <w:t>Quarterly reports will be submitted January 10, April 10, July 10, and October 10 of each year until project close out.  Reports will identify amount expended per quarter (this can be approximate if an invoice is not yet available), activities conducted, and planned activities for the following quarter, along with identification of any issues encountered during the time and how they were addressed.</w:t>
      </w:r>
    </w:p>
    <w:p w14:paraId="7AC6E52B" w14:textId="77777777" w:rsidR="00972B1D" w:rsidRPr="00C87F1F" w:rsidRDefault="00972B1D">
      <w:r>
        <w:rPr>
          <w:b/>
          <w:i/>
        </w:rPr>
        <w:br w:type="page"/>
      </w:r>
    </w:p>
    <w:p w14:paraId="3B52ADC3" w14:textId="77777777" w:rsidR="004A12F7" w:rsidRDefault="004A12F7" w:rsidP="004A12F7">
      <w:pPr>
        <w:rPr>
          <w:b/>
          <w:i/>
        </w:rPr>
      </w:pPr>
      <w:r>
        <w:rPr>
          <w:b/>
          <w:i/>
        </w:rPr>
        <w:t xml:space="preserve">Project Budget:  </w:t>
      </w:r>
    </w:p>
    <w:p w14:paraId="6DE0F784" w14:textId="77777777" w:rsidR="00BB18EA" w:rsidRDefault="00BB18EA" w:rsidP="008555D0"/>
    <w:p w14:paraId="6A846F72" w14:textId="77777777" w:rsidR="008555D0" w:rsidRPr="008555D0" w:rsidRDefault="008555D0" w:rsidP="004A12F7"/>
    <w:tbl>
      <w:tblPr>
        <w:tblW w:w="9766" w:type="dxa"/>
        <w:tblInd w:w="98" w:type="dxa"/>
        <w:tblLook w:val="04A0" w:firstRow="1" w:lastRow="0" w:firstColumn="1" w:lastColumn="0" w:noHBand="0" w:noVBand="1"/>
      </w:tblPr>
      <w:tblGrid>
        <w:gridCol w:w="3677"/>
        <w:gridCol w:w="1373"/>
        <w:gridCol w:w="1530"/>
        <w:gridCol w:w="1530"/>
        <w:gridCol w:w="1656"/>
      </w:tblGrid>
      <w:tr w:rsidR="00B04363" w14:paraId="66C48E7B" w14:textId="77777777" w:rsidTr="00B04363">
        <w:trPr>
          <w:trHeight w:val="1440"/>
        </w:trPr>
        <w:tc>
          <w:tcPr>
            <w:tcW w:w="36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B46936" w14:textId="77777777" w:rsidR="00B04363" w:rsidRDefault="00B04363">
            <w:pPr>
              <w:jc w:val="center"/>
              <w:rPr>
                <w:b/>
                <w:bCs/>
                <w:color w:val="000000"/>
                <w:sz w:val="22"/>
                <w:szCs w:val="22"/>
              </w:rPr>
            </w:pPr>
            <w:r>
              <w:rPr>
                <w:b/>
                <w:bCs/>
                <w:color w:val="000000"/>
                <w:sz w:val="22"/>
                <w:szCs w:val="22"/>
              </w:rPr>
              <w:t> </w:t>
            </w:r>
          </w:p>
        </w:tc>
        <w:tc>
          <w:tcPr>
            <w:tcW w:w="1373" w:type="dxa"/>
            <w:tcBorders>
              <w:top w:val="single" w:sz="8" w:space="0" w:color="auto"/>
              <w:left w:val="nil"/>
              <w:bottom w:val="single" w:sz="8" w:space="0" w:color="auto"/>
              <w:right w:val="single" w:sz="8" w:space="0" w:color="auto"/>
            </w:tcBorders>
            <w:shd w:val="clear" w:color="auto" w:fill="auto"/>
            <w:vAlign w:val="center"/>
            <w:hideMark/>
          </w:tcPr>
          <w:p w14:paraId="2535460A" w14:textId="77777777" w:rsidR="00B04363" w:rsidRDefault="00B04363" w:rsidP="00F648A0">
            <w:pPr>
              <w:jc w:val="center"/>
              <w:rPr>
                <w:b/>
                <w:bCs/>
                <w:color w:val="000000"/>
                <w:sz w:val="22"/>
                <w:szCs w:val="22"/>
              </w:rPr>
            </w:pPr>
            <w:r>
              <w:rPr>
                <w:b/>
                <w:bCs/>
                <w:color w:val="000000"/>
                <w:sz w:val="22"/>
                <w:szCs w:val="22"/>
              </w:rPr>
              <w:t>Year 1                [4/2018-4/2019]</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07CCA635" w14:textId="77777777" w:rsidR="00B04363" w:rsidRDefault="00B04363" w:rsidP="00F648A0">
            <w:pPr>
              <w:jc w:val="center"/>
              <w:rPr>
                <w:b/>
                <w:bCs/>
                <w:color w:val="000000"/>
                <w:sz w:val="22"/>
                <w:szCs w:val="22"/>
              </w:rPr>
            </w:pPr>
            <w:r>
              <w:rPr>
                <w:b/>
                <w:bCs/>
                <w:color w:val="000000"/>
                <w:sz w:val="22"/>
                <w:szCs w:val="22"/>
              </w:rPr>
              <w:t>Year 2                [4/2019-4/2020]</w:t>
            </w:r>
          </w:p>
        </w:tc>
        <w:tc>
          <w:tcPr>
            <w:tcW w:w="1530" w:type="dxa"/>
            <w:tcBorders>
              <w:top w:val="single" w:sz="8" w:space="0" w:color="auto"/>
              <w:left w:val="nil"/>
              <w:bottom w:val="single" w:sz="8" w:space="0" w:color="auto"/>
              <w:right w:val="nil"/>
            </w:tcBorders>
          </w:tcPr>
          <w:p w14:paraId="5110F80D" w14:textId="77777777" w:rsidR="00B04363" w:rsidRDefault="00B04363">
            <w:pPr>
              <w:jc w:val="center"/>
              <w:rPr>
                <w:b/>
                <w:bCs/>
                <w:color w:val="000000"/>
                <w:sz w:val="22"/>
                <w:szCs w:val="22"/>
              </w:rPr>
            </w:pPr>
          </w:p>
          <w:p w14:paraId="1308D86D" w14:textId="77777777" w:rsidR="00B04363" w:rsidRPr="00B04363" w:rsidRDefault="00B04363">
            <w:pPr>
              <w:jc w:val="center"/>
              <w:rPr>
                <w:b/>
                <w:bCs/>
                <w:color w:val="000000"/>
                <w:sz w:val="6"/>
                <w:szCs w:val="22"/>
              </w:rPr>
            </w:pPr>
          </w:p>
          <w:p w14:paraId="55638EEF" w14:textId="77777777" w:rsidR="00B04363" w:rsidRDefault="00B04363" w:rsidP="00B04363">
            <w:pPr>
              <w:jc w:val="center"/>
              <w:rPr>
                <w:b/>
                <w:bCs/>
                <w:color w:val="000000"/>
                <w:sz w:val="22"/>
                <w:szCs w:val="22"/>
              </w:rPr>
            </w:pPr>
            <w:r>
              <w:rPr>
                <w:b/>
                <w:bCs/>
                <w:color w:val="000000"/>
                <w:sz w:val="22"/>
                <w:szCs w:val="22"/>
              </w:rPr>
              <w:t>Year 3</w:t>
            </w:r>
          </w:p>
          <w:p w14:paraId="676F4FA6" w14:textId="77777777" w:rsidR="00B04363" w:rsidRDefault="00B04363" w:rsidP="00B04363">
            <w:pPr>
              <w:jc w:val="center"/>
              <w:rPr>
                <w:b/>
                <w:bCs/>
                <w:color w:val="000000"/>
                <w:sz w:val="22"/>
                <w:szCs w:val="22"/>
              </w:rPr>
            </w:pPr>
            <w:r>
              <w:rPr>
                <w:b/>
                <w:bCs/>
                <w:color w:val="000000"/>
                <w:sz w:val="22"/>
                <w:szCs w:val="22"/>
              </w:rPr>
              <w:t>[4/2020-4/2021]</w:t>
            </w:r>
          </w:p>
        </w:tc>
        <w:tc>
          <w:tcPr>
            <w:tcW w:w="1656" w:type="dxa"/>
            <w:tcBorders>
              <w:top w:val="single" w:sz="8" w:space="0" w:color="auto"/>
              <w:left w:val="nil"/>
              <w:bottom w:val="single" w:sz="8" w:space="0" w:color="auto"/>
              <w:right w:val="single" w:sz="8" w:space="0" w:color="auto"/>
            </w:tcBorders>
            <w:shd w:val="clear" w:color="auto" w:fill="auto"/>
            <w:noWrap/>
            <w:vAlign w:val="center"/>
            <w:hideMark/>
          </w:tcPr>
          <w:p w14:paraId="344F7191" w14:textId="77777777" w:rsidR="00B04363" w:rsidRDefault="00B04363">
            <w:pPr>
              <w:jc w:val="center"/>
              <w:rPr>
                <w:b/>
                <w:bCs/>
                <w:color w:val="000000"/>
                <w:sz w:val="22"/>
                <w:szCs w:val="22"/>
              </w:rPr>
            </w:pPr>
            <w:r>
              <w:rPr>
                <w:b/>
                <w:bCs/>
                <w:color w:val="000000"/>
                <w:sz w:val="22"/>
                <w:szCs w:val="22"/>
              </w:rPr>
              <w:t>Total</w:t>
            </w:r>
          </w:p>
        </w:tc>
      </w:tr>
      <w:tr w:rsidR="00B04363" w14:paraId="733F754A" w14:textId="77777777" w:rsidTr="00B04363">
        <w:trPr>
          <w:trHeight w:val="315"/>
        </w:trPr>
        <w:tc>
          <w:tcPr>
            <w:tcW w:w="3677" w:type="dxa"/>
            <w:tcBorders>
              <w:top w:val="nil"/>
              <w:left w:val="single" w:sz="8" w:space="0" w:color="auto"/>
              <w:bottom w:val="single" w:sz="8" w:space="0" w:color="auto"/>
              <w:right w:val="single" w:sz="8" w:space="0" w:color="auto"/>
            </w:tcBorders>
            <w:shd w:val="clear" w:color="auto" w:fill="auto"/>
            <w:noWrap/>
            <w:vAlign w:val="center"/>
            <w:hideMark/>
          </w:tcPr>
          <w:p w14:paraId="1D9AF77A" w14:textId="77777777" w:rsidR="00B04363" w:rsidRDefault="00B04363" w:rsidP="00F648A0">
            <w:pPr>
              <w:rPr>
                <w:color w:val="000000"/>
                <w:sz w:val="22"/>
                <w:szCs w:val="22"/>
              </w:rPr>
            </w:pPr>
            <w:r>
              <w:rPr>
                <w:color w:val="000000"/>
                <w:sz w:val="22"/>
                <w:szCs w:val="22"/>
              </w:rPr>
              <w:t xml:space="preserve">Personnel/Salaries </w:t>
            </w:r>
          </w:p>
        </w:tc>
        <w:tc>
          <w:tcPr>
            <w:tcW w:w="1373" w:type="dxa"/>
            <w:tcBorders>
              <w:top w:val="nil"/>
              <w:left w:val="nil"/>
              <w:bottom w:val="single" w:sz="8" w:space="0" w:color="auto"/>
              <w:right w:val="single" w:sz="8" w:space="0" w:color="auto"/>
            </w:tcBorders>
            <w:shd w:val="clear" w:color="auto" w:fill="auto"/>
            <w:noWrap/>
            <w:vAlign w:val="center"/>
            <w:hideMark/>
          </w:tcPr>
          <w:p w14:paraId="5D14C149" w14:textId="77777777" w:rsidR="00B04363" w:rsidRDefault="00B04363">
            <w:pPr>
              <w:jc w:val="right"/>
              <w:rPr>
                <w:color w:val="000000"/>
                <w:sz w:val="22"/>
                <w:szCs w:val="22"/>
              </w:rPr>
            </w:pPr>
            <w:r>
              <w:rPr>
                <w:color w:val="000000"/>
                <w:sz w:val="22"/>
                <w:szCs w:val="22"/>
              </w:rPr>
              <w:t>$8,400</w:t>
            </w:r>
          </w:p>
        </w:tc>
        <w:tc>
          <w:tcPr>
            <w:tcW w:w="1530" w:type="dxa"/>
            <w:tcBorders>
              <w:top w:val="nil"/>
              <w:left w:val="nil"/>
              <w:bottom w:val="single" w:sz="8" w:space="0" w:color="auto"/>
              <w:right w:val="single" w:sz="8" w:space="0" w:color="auto"/>
            </w:tcBorders>
            <w:shd w:val="clear" w:color="auto" w:fill="auto"/>
            <w:noWrap/>
            <w:vAlign w:val="center"/>
            <w:hideMark/>
          </w:tcPr>
          <w:p w14:paraId="0047EFAE" w14:textId="77777777" w:rsidR="00B04363" w:rsidRDefault="00B04363">
            <w:pPr>
              <w:jc w:val="right"/>
              <w:rPr>
                <w:color w:val="000000"/>
                <w:sz w:val="22"/>
                <w:szCs w:val="22"/>
              </w:rPr>
            </w:pPr>
            <w:r>
              <w:rPr>
                <w:color w:val="000000"/>
                <w:sz w:val="22"/>
                <w:szCs w:val="22"/>
              </w:rPr>
              <w:t>$8,400</w:t>
            </w:r>
          </w:p>
        </w:tc>
        <w:tc>
          <w:tcPr>
            <w:tcW w:w="1530" w:type="dxa"/>
            <w:tcBorders>
              <w:top w:val="nil"/>
              <w:left w:val="nil"/>
              <w:bottom w:val="single" w:sz="8" w:space="0" w:color="auto"/>
              <w:right w:val="nil"/>
            </w:tcBorders>
          </w:tcPr>
          <w:p w14:paraId="62C297BD" w14:textId="77777777" w:rsidR="00B04363" w:rsidRDefault="009560AD">
            <w:pPr>
              <w:jc w:val="right"/>
              <w:rPr>
                <w:color w:val="000000"/>
                <w:sz w:val="22"/>
                <w:szCs w:val="22"/>
              </w:rPr>
            </w:pPr>
            <w:r>
              <w:rPr>
                <w:color w:val="000000"/>
                <w:sz w:val="22"/>
                <w:szCs w:val="22"/>
              </w:rPr>
              <w:t>$4,200</w:t>
            </w:r>
          </w:p>
        </w:tc>
        <w:tc>
          <w:tcPr>
            <w:tcW w:w="1656" w:type="dxa"/>
            <w:tcBorders>
              <w:top w:val="nil"/>
              <w:left w:val="nil"/>
              <w:bottom w:val="single" w:sz="8" w:space="0" w:color="auto"/>
              <w:right w:val="single" w:sz="8" w:space="0" w:color="auto"/>
            </w:tcBorders>
            <w:shd w:val="clear" w:color="auto" w:fill="auto"/>
            <w:noWrap/>
            <w:vAlign w:val="center"/>
            <w:hideMark/>
          </w:tcPr>
          <w:p w14:paraId="5E4409F9" w14:textId="77777777" w:rsidR="00B04363" w:rsidRDefault="00D5022C">
            <w:pPr>
              <w:jc w:val="right"/>
              <w:rPr>
                <w:color w:val="000000"/>
                <w:sz w:val="22"/>
                <w:szCs w:val="22"/>
              </w:rPr>
            </w:pPr>
            <w:r>
              <w:rPr>
                <w:color w:val="000000"/>
                <w:sz w:val="22"/>
                <w:szCs w:val="22"/>
              </w:rPr>
              <w:t>$21,000</w:t>
            </w:r>
          </w:p>
        </w:tc>
      </w:tr>
      <w:tr w:rsidR="00B04363" w14:paraId="5DAF41A2" w14:textId="77777777" w:rsidTr="00B04363">
        <w:trPr>
          <w:trHeight w:val="315"/>
        </w:trPr>
        <w:tc>
          <w:tcPr>
            <w:tcW w:w="3677" w:type="dxa"/>
            <w:tcBorders>
              <w:top w:val="nil"/>
              <w:left w:val="single" w:sz="8" w:space="0" w:color="auto"/>
              <w:bottom w:val="single" w:sz="8" w:space="0" w:color="auto"/>
              <w:right w:val="single" w:sz="8" w:space="0" w:color="auto"/>
            </w:tcBorders>
            <w:shd w:val="clear" w:color="auto" w:fill="auto"/>
            <w:noWrap/>
            <w:vAlign w:val="center"/>
            <w:hideMark/>
          </w:tcPr>
          <w:p w14:paraId="64837DEF" w14:textId="77777777" w:rsidR="00B04363" w:rsidRDefault="00B04363" w:rsidP="00F648A0">
            <w:pPr>
              <w:rPr>
                <w:color w:val="000000"/>
                <w:sz w:val="22"/>
                <w:szCs w:val="22"/>
              </w:rPr>
            </w:pPr>
            <w:r>
              <w:rPr>
                <w:color w:val="000000"/>
                <w:sz w:val="22"/>
                <w:szCs w:val="22"/>
              </w:rPr>
              <w:t>Fringe Benefits (</w:t>
            </w:r>
            <w:r w:rsidR="007E02E6">
              <w:rPr>
                <w:color w:val="000000"/>
                <w:sz w:val="22"/>
                <w:szCs w:val="22"/>
              </w:rPr>
              <w:t>40</w:t>
            </w:r>
            <w:r>
              <w:rPr>
                <w:color w:val="000000"/>
                <w:sz w:val="22"/>
                <w:szCs w:val="22"/>
              </w:rPr>
              <w:t xml:space="preserve"> %)</w:t>
            </w:r>
          </w:p>
        </w:tc>
        <w:tc>
          <w:tcPr>
            <w:tcW w:w="1373" w:type="dxa"/>
            <w:tcBorders>
              <w:top w:val="nil"/>
              <w:left w:val="nil"/>
              <w:bottom w:val="single" w:sz="8" w:space="0" w:color="auto"/>
              <w:right w:val="single" w:sz="8" w:space="0" w:color="auto"/>
            </w:tcBorders>
            <w:shd w:val="clear" w:color="auto" w:fill="auto"/>
            <w:noWrap/>
            <w:vAlign w:val="center"/>
            <w:hideMark/>
          </w:tcPr>
          <w:p w14:paraId="238322F3" w14:textId="77777777" w:rsidR="00B04363" w:rsidRDefault="00B04363">
            <w:pPr>
              <w:jc w:val="right"/>
              <w:rPr>
                <w:color w:val="000000"/>
                <w:sz w:val="22"/>
                <w:szCs w:val="22"/>
              </w:rPr>
            </w:pPr>
            <w:r>
              <w:rPr>
                <w:color w:val="000000"/>
                <w:sz w:val="22"/>
                <w:szCs w:val="22"/>
              </w:rPr>
              <w:t>$3,360</w:t>
            </w:r>
          </w:p>
        </w:tc>
        <w:tc>
          <w:tcPr>
            <w:tcW w:w="1530" w:type="dxa"/>
            <w:tcBorders>
              <w:top w:val="nil"/>
              <w:left w:val="nil"/>
              <w:bottom w:val="single" w:sz="8" w:space="0" w:color="auto"/>
              <w:right w:val="single" w:sz="8" w:space="0" w:color="auto"/>
            </w:tcBorders>
            <w:shd w:val="clear" w:color="auto" w:fill="auto"/>
            <w:noWrap/>
            <w:vAlign w:val="center"/>
          </w:tcPr>
          <w:p w14:paraId="78E0980B" w14:textId="77777777" w:rsidR="00B04363" w:rsidRDefault="00B04363">
            <w:pPr>
              <w:jc w:val="right"/>
              <w:rPr>
                <w:color w:val="000000"/>
                <w:sz w:val="22"/>
                <w:szCs w:val="22"/>
              </w:rPr>
            </w:pPr>
            <w:r>
              <w:rPr>
                <w:color w:val="000000"/>
                <w:sz w:val="22"/>
                <w:szCs w:val="22"/>
              </w:rPr>
              <w:t>$3,360</w:t>
            </w:r>
          </w:p>
        </w:tc>
        <w:tc>
          <w:tcPr>
            <w:tcW w:w="1530" w:type="dxa"/>
            <w:tcBorders>
              <w:top w:val="nil"/>
              <w:left w:val="nil"/>
              <w:bottom w:val="single" w:sz="8" w:space="0" w:color="auto"/>
              <w:right w:val="nil"/>
            </w:tcBorders>
          </w:tcPr>
          <w:p w14:paraId="5B35E10B" w14:textId="77777777" w:rsidR="00B04363" w:rsidRDefault="009560AD">
            <w:pPr>
              <w:jc w:val="right"/>
              <w:rPr>
                <w:color w:val="000000"/>
                <w:sz w:val="22"/>
                <w:szCs w:val="22"/>
              </w:rPr>
            </w:pPr>
            <w:r>
              <w:rPr>
                <w:color w:val="000000"/>
                <w:sz w:val="22"/>
                <w:szCs w:val="22"/>
              </w:rPr>
              <w:t>$1,680</w:t>
            </w:r>
          </w:p>
        </w:tc>
        <w:tc>
          <w:tcPr>
            <w:tcW w:w="1656" w:type="dxa"/>
            <w:tcBorders>
              <w:top w:val="nil"/>
              <w:left w:val="nil"/>
              <w:bottom w:val="single" w:sz="8" w:space="0" w:color="auto"/>
              <w:right w:val="single" w:sz="8" w:space="0" w:color="auto"/>
            </w:tcBorders>
            <w:shd w:val="clear" w:color="auto" w:fill="auto"/>
            <w:noWrap/>
            <w:vAlign w:val="center"/>
            <w:hideMark/>
          </w:tcPr>
          <w:p w14:paraId="3D07575C" w14:textId="77777777" w:rsidR="00B04363" w:rsidRDefault="00D5022C">
            <w:pPr>
              <w:jc w:val="right"/>
              <w:rPr>
                <w:color w:val="000000"/>
                <w:sz w:val="22"/>
                <w:szCs w:val="22"/>
              </w:rPr>
            </w:pPr>
            <w:r>
              <w:rPr>
                <w:color w:val="000000"/>
                <w:sz w:val="22"/>
                <w:szCs w:val="22"/>
              </w:rPr>
              <w:t>$8,400</w:t>
            </w:r>
          </w:p>
        </w:tc>
      </w:tr>
      <w:tr w:rsidR="00B04363" w14:paraId="13FB53D1" w14:textId="77777777" w:rsidTr="00B04363">
        <w:trPr>
          <w:trHeight w:val="315"/>
        </w:trPr>
        <w:tc>
          <w:tcPr>
            <w:tcW w:w="3677" w:type="dxa"/>
            <w:tcBorders>
              <w:top w:val="nil"/>
              <w:left w:val="single" w:sz="8" w:space="0" w:color="auto"/>
              <w:bottom w:val="single" w:sz="8" w:space="0" w:color="auto"/>
              <w:right w:val="single" w:sz="8" w:space="0" w:color="auto"/>
            </w:tcBorders>
            <w:shd w:val="clear" w:color="auto" w:fill="auto"/>
            <w:noWrap/>
            <w:vAlign w:val="center"/>
            <w:hideMark/>
          </w:tcPr>
          <w:p w14:paraId="2775BC32" w14:textId="7ACF8506" w:rsidR="00B04363" w:rsidRDefault="00B04363">
            <w:pPr>
              <w:rPr>
                <w:color w:val="000000"/>
                <w:sz w:val="22"/>
                <w:szCs w:val="22"/>
              </w:rPr>
            </w:pPr>
            <w:r>
              <w:rPr>
                <w:color w:val="000000"/>
                <w:sz w:val="22"/>
                <w:szCs w:val="22"/>
              </w:rPr>
              <w:t>Travel</w:t>
            </w:r>
            <w:r w:rsidR="006E1C68">
              <w:rPr>
                <w:color w:val="000000"/>
                <w:sz w:val="22"/>
                <w:szCs w:val="22"/>
              </w:rPr>
              <w:t xml:space="preserve"> (0.535/mile x 1120</w:t>
            </w:r>
            <w:r w:rsidR="0022108D">
              <w:rPr>
                <w:color w:val="000000"/>
                <w:sz w:val="22"/>
                <w:szCs w:val="22"/>
              </w:rPr>
              <w:t xml:space="preserve"> miles/year)</w:t>
            </w:r>
          </w:p>
        </w:tc>
        <w:tc>
          <w:tcPr>
            <w:tcW w:w="1373" w:type="dxa"/>
            <w:tcBorders>
              <w:top w:val="nil"/>
              <w:left w:val="nil"/>
              <w:bottom w:val="single" w:sz="8" w:space="0" w:color="auto"/>
              <w:right w:val="single" w:sz="8" w:space="0" w:color="auto"/>
            </w:tcBorders>
            <w:shd w:val="clear" w:color="auto" w:fill="auto"/>
            <w:noWrap/>
            <w:vAlign w:val="center"/>
            <w:hideMark/>
          </w:tcPr>
          <w:p w14:paraId="6AC1838F" w14:textId="77777777" w:rsidR="00B04363" w:rsidRDefault="00B04363" w:rsidP="00B04363">
            <w:pPr>
              <w:jc w:val="right"/>
              <w:rPr>
                <w:color w:val="000000"/>
                <w:sz w:val="22"/>
                <w:szCs w:val="22"/>
              </w:rPr>
            </w:pPr>
            <w:r>
              <w:rPr>
                <w:color w:val="000000"/>
                <w:sz w:val="22"/>
                <w:szCs w:val="22"/>
              </w:rPr>
              <w:t> $599</w:t>
            </w:r>
          </w:p>
        </w:tc>
        <w:tc>
          <w:tcPr>
            <w:tcW w:w="1530" w:type="dxa"/>
            <w:tcBorders>
              <w:top w:val="nil"/>
              <w:left w:val="nil"/>
              <w:bottom w:val="single" w:sz="8" w:space="0" w:color="auto"/>
              <w:right w:val="single" w:sz="8" w:space="0" w:color="auto"/>
            </w:tcBorders>
            <w:shd w:val="clear" w:color="auto" w:fill="auto"/>
            <w:noWrap/>
            <w:vAlign w:val="center"/>
          </w:tcPr>
          <w:p w14:paraId="1CE0E409" w14:textId="77777777" w:rsidR="00B04363" w:rsidRDefault="00B04363" w:rsidP="00B04363">
            <w:pPr>
              <w:jc w:val="right"/>
              <w:rPr>
                <w:color w:val="000000"/>
                <w:sz w:val="22"/>
                <w:szCs w:val="22"/>
              </w:rPr>
            </w:pPr>
            <w:r>
              <w:rPr>
                <w:color w:val="000000"/>
                <w:sz w:val="22"/>
                <w:szCs w:val="22"/>
              </w:rPr>
              <w:t>$599</w:t>
            </w:r>
          </w:p>
        </w:tc>
        <w:tc>
          <w:tcPr>
            <w:tcW w:w="1530" w:type="dxa"/>
            <w:tcBorders>
              <w:top w:val="nil"/>
              <w:left w:val="nil"/>
              <w:bottom w:val="single" w:sz="8" w:space="0" w:color="auto"/>
              <w:right w:val="nil"/>
            </w:tcBorders>
          </w:tcPr>
          <w:p w14:paraId="7A98F400" w14:textId="77777777" w:rsidR="00B04363" w:rsidRDefault="009560AD">
            <w:pPr>
              <w:jc w:val="right"/>
              <w:rPr>
                <w:color w:val="000000"/>
                <w:sz w:val="22"/>
                <w:szCs w:val="22"/>
              </w:rPr>
            </w:pPr>
            <w:r>
              <w:rPr>
                <w:color w:val="000000"/>
                <w:sz w:val="22"/>
                <w:szCs w:val="22"/>
              </w:rPr>
              <w:t>$599</w:t>
            </w:r>
          </w:p>
        </w:tc>
        <w:tc>
          <w:tcPr>
            <w:tcW w:w="1656" w:type="dxa"/>
            <w:tcBorders>
              <w:top w:val="nil"/>
              <w:left w:val="nil"/>
              <w:bottom w:val="single" w:sz="8" w:space="0" w:color="auto"/>
              <w:right w:val="single" w:sz="8" w:space="0" w:color="auto"/>
            </w:tcBorders>
            <w:shd w:val="clear" w:color="auto" w:fill="auto"/>
            <w:noWrap/>
            <w:vAlign w:val="center"/>
          </w:tcPr>
          <w:p w14:paraId="58D58FD2" w14:textId="77777777" w:rsidR="00B04363" w:rsidRDefault="00D5022C">
            <w:pPr>
              <w:jc w:val="right"/>
              <w:rPr>
                <w:color w:val="000000"/>
                <w:sz w:val="22"/>
                <w:szCs w:val="22"/>
              </w:rPr>
            </w:pPr>
            <w:r>
              <w:rPr>
                <w:color w:val="000000"/>
                <w:sz w:val="22"/>
                <w:szCs w:val="22"/>
              </w:rPr>
              <w:t>$1,797</w:t>
            </w:r>
          </w:p>
        </w:tc>
      </w:tr>
      <w:tr w:rsidR="00B04363" w14:paraId="398FB6BE" w14:textId="77777777" w:rsidTr="00B04363">
        <w:trPr>
          <w:trHeight w:val="315"/>
        </w:trPr>
        <w:tc>
          <w:tcPr>
            <w:tcW w:w="3677" w:type="dxa"/>
            <w:tcBorders>
              <w:top w:val="nil"/>
              <w:left w:val="single" w:sz="8" w:space="0" w:color="auto"/>
              <w:bottom w:val="single" w:sz="8" w:space="0" w:color="auto"/>
              <w:right w:val="single" w:sz="8" w:space="0" w:color="auto"/>
            </w:tcBorders>
            <w:shd w:val="clear" w:color="auto" w:fill="auto"/>
            <w:noWrap/>
            <w:vAlign w:val="center"/>
            <w:hideMark/>
          </w:tcPr>
          <w:p w14:paraId="2BCB3B50" w14:textId="77777777" w:rsidR="00B04363" w:rsidRDefault="00B04363">
            <w:pPr>
              <w:rPr>
                <w:color w:val="000000"/>
                <w:sz w:val="22"/>
                <w:szCs w:val="22"/>
              </w:rPr>
            </w:pPr>
            <w:r>
              <w:rPr>
                <w:color w:val="000000"/>
                <w:sz w:val="22"/>
                <w:szCs w:val="22"/>
              </w:rPr>
              <w:t>Equipment</w:t>
            </w:r>
          </w:p>
        </w:tc>
        <w:tc>
          <w:tcPr>
            <w:tcW w:w="1373" w:type="dxa"/>
            <w:tcBorders>
              <w:top w:val="nil"/>
              <w:left w:val="nil"/>
              <w:bottom w:val="single" w:sz="8" w:space="0" w:color="auto"/>
              <w:right w:val="single" w:sz="8" w:space="0" w:color="auto"/>
            </w:tcBorders>
            <w:shd w:val="clear" w:color="auto" w:fill="auto"/>
            <w:noWrap/>
            <w:vAlign w:val="center"/>
            <w:hideMark/>
          </w:tcPr>
          <w:p w14:paraId="2EAF435B" w14:textId="77777777" w:rsidR="00B04363" w:rsidRDefault="00B04363" w:rsidP="00B04363">
            <w:pPr>
              <w:jc w:val="right"/>
              <w:rPr>
                <w:color w:val="000000"/>
                <w:sz w:val="22"/>
                <w:szCs w:val="22"/>
              </w:rPr>
            </w:pPr>
            <w:r>
              <w:rPr>
                <w:color w:val="000000"/>
                <w:sz w:val="22"/>
                <w:szCs w:val="22"/>
              </w:rPr>
              <w:t> </w:t>
            </w:r>
          </w:p>
        </w:tc>
        <w:tc>
          <w:tcPr>
            <w:tcW w:w="1530" w:type="dxa"/>
            <w:tcBorders>
              <w:top w:val="nil"/>
              <w:left w:val="nil"/>
              <w:bottom w:val="single" w:sz="8" w:space="0" w:color="auto"/>
              <w:right w:val="single" w:sz="8" w:space="0" w:color="auto"/>
            </w:tcBorders>
            <w:shd w:val="clear" w:color="auto" w:fill="auto"/>
            <w:noWrap/>
            <w:vAlign w:val="center"/>
          </w:tcPr>
          <w:p w14:paraId="14B7C4FD" w14:textId="77777777" w:rsidR="00B04363" w:rsidRDefault="00B04363" w:rsidP="00B04363">
            <w:pPr>
              <w:jc w:val="right"/>
              <w:rPr>
                <w:color w:val="000000"/>
                <w:sz w:val="22"/>
                <w:szCs w:val="22"/>
              </w:rPr>
            </w:pPr>
          </w:p>
        </w:tc>
        <w:tc>
          <w:tcPr>
            <w:tcW w:w="1530" w:type="dxa"/>
            <w:tcBorders>
              <w:top w:val="nil"/>
              <w:left w:val="nil"/>
              <w:bottom w:val="single" w:sz="8" w:space="0" w:color="auto"/>
              <w:right w:val="nil"/>
            </w:tcBorders>
          </w:tcPr>
          <w:p w14:paraId="690CE9F6" w14:textId="77777777" w:rsidR="00B04363" w:rsidRDefault="00B04363">
            <w:pPr>
              <w:jc w:val="right"/>
              <w:rPr>
                <w:color w:val="000000"/>
                <w:sz w:val="22"/>
                <w:szCs w:val="22"/>
              </w:rPr>
            </w:pPr>
          </w:p>
        </w:tc>
        <w:tc>
          <w:tcPr>
            <w:tcW w:w="1656" w:type="dxa"/>
            <w:tcBorders>
              <w:top w:val="nil"/>
              <w:left w:val="nil"/>
              <w:bottom w:val="single" w:sz="8" w:space="0" w:color="auto"/>
              <w:right w:val="single" w:sz="8" w:space="0" w:color="auto"/>
            </w:tcBorders>
            <w:shd w:val="clear" w:color="auto" w:fill="auto"/>
            <w:noWrap/>
            <w:vAlign w:val="center"/>
          </w:tcPr>
          <w:p w14:paraId="2F786A38" w14:textId="77777777" w:rsidR="00B04363" w:rsidRDefault="00B04363">
            <w:pPr>
              <w:jc w:val="right"/>
              <w:rPr>
                <w:color w:val="000000"/>
                <w:sz w:val="22"/>
                <w:szCs w:val="22"/>
              </w:rPr>
            </w:pPr>
          </w:p>
        </w:tc>
      </w:tr>
      <w:tr w:rsidR="00B04363" w14:paraId="4F376960" w14:textId="77777777" w:rsidTr="00B04363">
        <w:trPr>
          <w:trHeight w:val="315"/>
        </w:trPr>
        <w:tc>
          <w:tcPr>
            <w:tcW w:w="3677" w:type="dxa"/>
            <w:tcBorders>
              <w:top w:val="nil"/>
              <w:left w:val="single" w:sz="8" w:space="0" w:color="auto"/>
              <w:bottom w:val="single" w:sz="8" w:space="0" w:color="auto"/>
              <w:right w:val="single" w:sz="8" w:space="0" w:color="auto"/>
            </w:tcBorders>
            <w:shd w:val="clear" w:color="auto" w:fill="auto"/>
            <w:noWrap/>
            <w:vAlign w:val="center"/>
            <w:hideMark/>
          </w:tcPr>
          <w:p w14:paraId="59626D0A" w14:textId="77777777" w:rsidR="00B04363" w:rsidRDefault="00B04363">
            <w:pPr>
              <w:rPr>
                <w:color w:val="000000"/>
                <w:sz w:val="22"/>
                <w:szCs w:val="22"/>
              </w:rPr>
            </w:pPr>
            <w:r>
              <w:rPr>
                <w:color w:val="000000"/>
                <w:sz w:val="22"/>
                <w:szCs w:val="22"/>
              </w:rPr>
              <w:t>Supplies</w:t>
            </w:r>
          </w:p>
        </w:tc>
        <w:tc>
          <w:tcPr>
            <w:tcW w:w="1373" w:type="dxa"/>
            <w:tcBorders>
              <w:top w:val="nil"/>
              <w:left w:val="nil"/>
              <w:bottom w:val="single" w:sz="8" w:space="0" w:color="auto"/>
              <w:right w:val="single" w:sz="8" w:space="0" w:color="auto"/>
            </w:tcBorders>
            <w:shd w:val="clear" w:color="auto" w:fill="auto"/>
            <w:noWrap/>
            <w:vAlign w:val="center"/>
            <w:hideMark/>
          </w:tcPr>
          <w:p w14:paraId="2FFE068E" w14:textId="77777777" w:rsidR="00B04363" w:rsidRDefault="00B04363" w:rsidP="00B04363">
            <w:pPr>
              <w:jc w:val="right"/>
              <w:rPr>
                <w:color w:val="000000"/>
                <w:sz w:val="22"/>
                <w:szCs w:val="22"/>
              </w:rPr>
            </w:pPr>
            <w:r>
              <w:rPr>
                <w:color w:val="000000"/>
                <w:sz w:val="22"/>
                <w:szCs w:val="22"/>
              </w:rPr>
              <w:t> </w:t>
            </w:r>
          </w:p>
        </w:tc>
        <w:tc>
          <w:tcPr>
            <w:tcW w:w="1530" w:type="dxa"/>
            <w:tcBorders>
              <w:top w:val="nil"/>
              <w:left w:val="nil"/>
              <w:bottom w:val="single" w:sz="8" w:space="0" w:color="auto"/>
              <w:right w:val="single" w:sz="8" w:space="0" w:color="auto"/>
            </w:tcBorders>
            <w:shd w:val="clear" w:color="auto" w:fill="auto"/>
            <w:noWrap/>
            <w:vAlign w:val="center"/>
          </w:tcPr>
          <w:p w14:paraId="3F4E3AF8" w14:textId="77777777" w:rsidR="00B04363" w:rsidRDefault="00B04363" w:rsidP="00B04363">
            <w:pPr>
              <w:jc w:val="right"/>
              <w:rPr>
                <w:color w:val="000000"/>
                <w:sz w:val="22"/>
                <w:szCs w:val="22"/>
              </w:rPr>
            </w:pPr>
          </w:p>
        </w:tc>
        <w:tc>
          <w:tcPr>
            <w:tcW w:w="1530" w:type="dxa"/>
            <w:tcBorders>
              <w:top w:val="nil"/>
              <w:left w:val="nil"/>
              <w:bottom w:val="single" w:sz="8" w:space="0" w:color="auto"/>
              <w:right w:val="nil"/>
            </w:tcBorders>
          </w:tcPr>
          <w:p w14:paraId="37391D94" w14:textId="77777777" w:rsidR="00B04363" w:rsidRDefault="00B04363">
            <w:pPr>
              <w:jc w:val="right"/>
              <w:rPr>
                <w:color w:val="000000"/>
                <w:sz w:val="22"/>
                <w:szCs w:val="22"/>
              </w:rPr>
            </w:pPr>
          </w:p>
        </w:tc>
        <w:tc>
          <w:tcPr>
            <w:tcW w:w="1656" w:type="dxa"/>
            <w:tcBorders>
              <w:top w:val="nil"/>
              <w:left w:val="nil"/>
              <w:bottom w:val="single" w:sz="8" w:space="0" w:color="auto"/>
              <w:right w:val="single" w:sz="8" w:space="0" w:color="auto"/>
            </w:tcBorders>
            <w:shd w:val="clear" w:color="auto" w:fill="auto"/>
            <w:noWrap/>
            <w:vAlign w:val="center"/>
          </w:tcPr>
          <w:p w14:paraId="2530764F" w14:textId="77777777" w:rsidR="00B04363" w:rsidRDefault="00B04363">
            <w:pPr>
              <w:jc w:val="right"/>
              <w:rPr>
                <w:color w:val="000000"/>
                <w:sz w:val="22"/>
                <w:szCs w:val="22"/>
              </w:rPr>
            </w:pPr>
          </w:p>
        </w:tc>
      </w:tr>
      <w:tr w:rsidR="00B04363" w14:paraId="198DC71D" w14:textId="77777777" w:rsidTr="00B04363">
        <w:trPr>
          <w:trHeight w:val="315"/>
        </w:trPr>
        <w:tc>
          <w:tcPr>
            <w:tcW w:w="3677" w:type="dxa"/>
            <w:tcBorders>
              <w:top w:val="nil"/>
              <w:left w:val="single" w:sz="8" w:space="0" w:color="auto"/>
              <w:bottom w:val="single" w:sz="8" w:space="0" w:color="auto"/>
              <w:right w:val="single" w:sz="8" w:space="0" w:color="auto"/>
            </w:tcBorders>
            <w:shd w:val="clear" w:color="auto" w:fill="auto"/>
            <w:noWrap/>
            <w:vAlign w:val="center"/>
            <w:hideMark/>
          </w:tcPr>
          <w:p w14:paraId="1BD255F4" w14:textId="77777777" w:rsidR="00B04363" w:rsidRDefault="00B04363" w:rsidP="00A04680">
            <w:pPr>
              <w:rPr>
                <w:color w:val="000000"/>
                <w:sz w:val="22"/>
                <w:szCs w:val="22"/>
              </w:rPr>
            </w:pPr>
            <w:r>
              <w:rPr>
                <w:color w:val="000000"/>
                <w:sz w:val="22"/>
                <w:szCs w:val="22"/>
              </w:rPr>
              <w:t xml:space="preserve">Contractual:      </w:t>
            </w:r>
          </w:p>
        </w:tc>
        <w:tc>
          <w:tcPr>
            <w:tcW w:w="1373" w:type="dxa"/>
            <w:tcBorders>
              <w:top w:val="nil"/>
              <w:left w:val="nil"/>
              <w:bottom w:val="single" w:sz="8" w:space="0" w:color="auto"/>
              <w:right w:val="single" w:sz="8" w:space="0" w:color="auto"/>
            </w:tcBorders>
            <w:shd w:val="clear" w:color="auto" w:fill="auto"/>
            <w:noWrap/>
            <w:vAlign w:val="center"/>
          </w:tcPr>
          <w:p w14:paraId="6F382F74" w14:textId="77777777" w:rsidR="00B04363" w:rsidRDefault="009560AD">
            <w:pPr>
              <w:jc w:val="right"/>
              <w:rPr>
                <w:color w:val="000000"/>
                <w:sz w:val="22"/>
                <w:szCs w:val="22"/>
              </w:rPr>
            </w:pPr>
            <w:r>
              <w:rPr>
                <w:color w:val="000000"/>
                <w:sz w:val="22"/>
                <w:szCs w:val="22"/>
              </w:rPr>
              <w:t>$45,000</w:t>
            </w:r>
          </w:p>
        </w:tc>
        <w:tc>
          <w:tcPr>
            <w:tcW w:w="1530" w:type="dxa"/>
            <w:tcBorders>
              <w:top w:val="nil"/>
              <w:left w:val="nil"/>
              <w:bottom w:val="single" w:sz="8" w:space="0" w:color="auto"/>
              <w:right w:val="single" w:sz="8" w:space="0" w:color="auto"/>
            </w:tcBorders>
            <w:shd w:val="clear" w:color="auto" w:fill="auto"/>
            <w:noWrap/>
            <w:vAlign w:val="center"/>
          </w:tcPr>
          <w:p w14:paraId="59816FB9" w14:textId="77777777" w:rsidR="00B04363" w:rsidRDefault="009560AD">
            <w:pPr>
              <w:jc w:val="right"/>
              <w:rPr>
                <w:color w:val="000000"/>
                <w:sz w:val="22"/>
                <w:szCs w:val="22"/>
              </w:rPr>
            </w:pPr>
            <w:r>
              <w:rPr>
                <w:color w:val="000000"/>
                <w:sz w:val="22"/>
                <w:szCs w:val="22"/>
              </w:rPr>
              <w:t>$54,033</w:t>
            </w:r>
          </w:p>
        </w:tc>
        <w:tc>
          <w:tcPr>
            <w:tcW w:w="1530" w:type="dxa"/>
            <w:tcBorders>
              <w:top w:val="nil"/>
              <w:left w:val="nil"/>
              <w:bottom w:val="single" w:sz="8" w:space="0" w:color="auto"/>
              <w:right w:val="nil"/>
            </w:tcBorders>
          </w:tcPr>
          <w:p w14:paraId="55A7EC57" w14:textId="77777777" w:rsidR="00B04363" w:rsidRDefault="009560AD">
            <w:pPr>
              <w:jc w:val="right"/>
              <w:rPr>
                <w:color w:val="000000"/>
                <w:sz w:val="22"/>
                <w:szCs w:val="22"/>
              </w:rPr>
            </w:pPr>
            <w:r>
              <w:rPr>
                <w:color w:val="000000"/>
                <w:sz w:val="22"/>
                <w:szCs w:val="22"/>
              </w:rPr>
              <w:t>$24,740</w:t>
            </w:r>
          </w:p>
        </w:tc>
        <w:tc>
          <w:tcPr>
            <w:tcW w:w="1656" w:type="dxa"/>
            <w:tcBorders>
              <w:top w:val="nil"/>
              <w:left w:val="nil"/>
              <w:bottom w:val="single" w:sz="8" w:space="0" w:color="auto"/>
              <w:right w:val="single" w:sz="8" w:space="0" w:color="auto"/>
            </w:tcBorders>
            <w:shd w:val="clear" w:color="auto" w:fill="auto"/>
            <w:noWrap/>
            <w:vAlign w:val="center"/>
          </w:tcPr>
          <w:p w14:paraId="2622A12B" w14:textId="77777777" w:rsidR="00B04363" w:rsidRDefault="00D5022C">
            <w:pPr>
              <w:jc w:val="right"/>
              <w:rPr>
                <w:color w:val="000000"/>
                <w:sz w:val="22"/>
                <w:szCs w:val="22"/>
              </w:rPr>
            </w:pPr>
            <w:r>
              <w:rPr>
                <w:color w:val="000000"/>
                <w:sz w:val="22"/>
                <w:szCs w:val="22"/>
              </w:rPr>
              <w:t>$123,773</w:t>
            </w:r>
          </w:p>
        </w:tc>
      </w:tr>
      <w:tr w:rsidR="00B04363" w14:paraId="66B04944" w14:textId="77777777" w:rsidTr="00B04363">
        <w:trPr>
          <w:trHeight w:val="315"/>
        </w:trPr>
        <w:tc>
          <w:tcPr>
            <w:tcW w:w="3677" w:type="dxa"/>
            <w:tcBorders>
              <w:top w:val="nil"/>
              <w:left w:val="single" w:sz="8" w:space="0" w:color="auto"/>
              <w:bottom w:val="single" w:sz="8" w:space="0" w:color="auto"/>
              <w:right w:val="single" w:sz="8" w:space="0" w:color="auto"/>
            </w:tcBorders>
            <w:shd w:val="clear" w:color="auto" w:fill="auto"/>
            <w:noWrap/>
            <w:vAlign w:val="center"/>
            <w:hideMark/>
          </w:tcPr>
          <w:p w14:paraId="6F1C6ADD" w14:textId="77777777" w:rsidR="00B04363" w:rsidRDefault="00B04363">
            <w:pPr>
              <w:rPr>
                <w:color w:val="000000"/>
                <w:sz w:val="22"/>
                <w:szCs w:val="22"/>
              </w:rPr>
            </w:pPr>
            <w:r>
              <w:rPr>
                <w:color w:val="000000"/>
                <w:sz w:val="22"/>
                <w:szCs w:val="22"/>
              </w:rPr>
              <w:t xml:space="preserve">Other Costs </w:t>
            </w:r>
          </w:p>
        </w:tc>
        <w:tc>
          <w:tcPr>
            <w:tcW w:w="1373" w:type="dxa"/>
            <w:tcBorders>
              <w:top w:val="nil"/>
              <w:left w:val="nil"/>
              <w:bottom w:val="single" w:sz="8" w:space="0" w:color="auto"/>
              <w:right w:val="single" w:sz="8" w:space="0" w:color="auto"/>
            </w:tcBorders>
            <w:shd w:val="clear" w:color="auto" w:fill="auto"/>
            <w:noWrap/>
            <w:vAlign w:val="center"/>
          </w:tcPr>
          <w:p w14:paraId="303C9D7E" w14:textId="77777777" w:rsidR="00B04363" w:rsidRDefault="009560AD" w:rsidP="00B04363">
            <w:pPr>
              <w:jc w:val="right"/>
              <w:rPr>
                <w:color w:val="000000"/>
                <w:sz w:val="22"/>
                <w:szCs w:val="22"/>
              </w:rPr>
            </w:pPr>
            <w:r>
              <w:rPr>
                <w:color w:val="000000"/>
                <w:sz w:val="22"/>
                <w:szCs w:val="22"/>
              </w:rPr>
              <w:t>$100</w:t>
            </w:r>
          </w:p>
        </w:tc>
        <w:tc>
          <w:tcPr>
            <w:tcW w:w="1530" w:type="dxa"/>
            <w:tcBorders>
              <w:top w:val="nil"/>
              <w:left w:val="nil"/>
              <w:bottom w:val="single" w:sz="8" w:space="0" w:color="auto"/>
              <w:right w:val="single" w:sz="8" w:space="0" w:color="auto"/>
            </w:tcBorders>
            <w:shd w:val="clear" w:color="auto" w:fill="auto"/>
            <w:noWrap/>
            <w:vAlign w:val="center"/>
          </w:tcPr>
          <w:p w14:paraId="2072B255" w14:textId="77777777" w:rsidR="00B04363" w:rsidRDefault="00B04363" w:rsidP="00B04363">
            <w:pPr>
              <w:jc w:val="right"/>
              <w:rPr>
                <w:color w:val="000000"/>
                <w:sz w:val="22"/>
                <w:szCs w:val="22"/>
              </w:rPr>
            </w:pPr>
          </w:p>
        </w:tc>
        <w:tc>
          <w:tcPr>
            <w:tcW w:w="1530" w:type="dxa"/>
            <w:tcBorders>
              <w:top w:val="nil"/>
              <w:left w:val="nil"/>
              <w:bottom w:val="single" w:sz="8" w:space="0" w:color="auto"/>
              <w:right w:val="nil"/>
            </w:tcBorders>
          </w:tcPr>
          <w:p w14:paraId="6B302C43" w14:textId="77777777" w:rsidR="00B04363" w:rsidRDefault="00B04363">
            <w:pPr>
              <w:jc w:val="right"/>
              <w:rPr>
                <w:color w:val="000000"/>
                <w:sz w:val="22"/>
                <w:szCs w:val="22"/>
              </w:rPr>
            </w:pPr>
          </w:p>
        </w:tc>
        <w:tc>
          <w:tcPr>
            <w:tcW w:w="1656" w:type="dxa"/>
            <w:tcBorders>
              <w:top w:val="nil"/>
              <w:left w:val="nil"/>
              <w:bottom w:val="single" w:sz="8" w:space="0" w:color="auto"/>
              <w:right w:val="single" w:sz="8" w:space="0" w:color="auto"/>
            </w:tcBorders>
            <w:shd w:val="clear" w:color="auto" w:fill="auto"/>
            <w:noWrap/>
            <w:vAlign w:val="center"/>
          </w:tcPr>
          <w:p w14:paraId="321EE7D3" w14:textId="77777777" w:rsidR="00B04363" w:rsidRDefault="00D5022C">
            <w:pPr>
              <w:jc w:val="right"/>
              <w:rPr>
                <w:color w:val="000000"/>
                <w:sz w:val="22"/>
                <w:szCs w:val="22"/>
              </w:rPr>
            </w:pPr>
            <w:r>
              <w:rPr>
                <w:color w:val="000000"/>
                <w:sz w:val="22"/>
                <w:szCs w:val="22"/>
              </w:rPr>
              <w:t>$100</w:t>
            </w:r>
          </w:p>
        </w:tc>
      </w:tr>
      <w:tr w:rsidR="00B04363" w14:paraId="55FA697D" w14:textId="77777777" w:rsidTr="00B04363">
        <w:trPr>
          <w:trHeight w:val="315"/>
        </w:trPr>
        <w:tc>
          <w:tcPr>
            <w:tcW w:w="3677" w:type="dxa"/>
            <w:tcBorders>
              <w:top w:val="nil"/>
              <w:left w:val="single" w:sz="8" w:space="0" w:color="auto"/>
              <w:bottom w:val="single" w:sz="8" w:space="0" w:color="auto"/>
              <w:right w:val="single" w:sz="8" w:space="0" w:color="auto"/>
            </w:tcBorders>
            <w:shd w:val="clear" w:color="auto" w:fill="auto"/>
            <w:noWrap/>
            <w:vAlign w:val="center"/>
            <w:hideMark/>
          </w:tcPr>
          <w:p w14:paraId="13F797B6" w14:textId="77777777" w:rsidR="00B04363" w:rsidRDefault="00B04363">
            <w:pPr>
              <w:rPr>
                <w:color w:val="000000"/>
                <w:sz w:val="22"/>
                <w:szCs w:val="22"/>
              </w:rPr>
            </w:pPr>
            <w:r>
              <w:rPr>
                <w:color w:val="000000"/>
                <w:sz w:val="22"/>
                <w:szCs w:val="22"/>
              </w:rPr>
              <w:t>Total Direct Charges</w:t>
            </w:r>
          </w:p>
        </w:tc>
        <w:tc>
          <w:tcPr>
            <w:tcW w:w="1373" w:type="dxa"/>
            <w:tcBorders>
              <w:top w:val="nil"/>
              <w:left w:val="nil"/>
              <w:bottom w:val="single" w:sz="8" w:space="0" w:color="auto"/>
              <w:right w:val="single" w:sz="8" w:space="0" w:color="auto"/>
            </w:tcBorders>
            <w:shd w:val="clear" w:color="auto" w:fill="auto"/>
            <w:noWrap/>
            <w:vAlign w:val="center"/>
          </w:tcPr>
          <w:p w14:paraId="1C83EB13" w14:textId="77777777" w:rsidR="00B04363" w:rsidRDefault="009560AD">
            <w:pPr>
              <w:jc w:val="right"/>
              <w:rPr>
                <w:color w:val="000000"/>
                <w:sz w:val="22"/>
                <w:szCs w:val="22"/>
              </w:rPr>
            </w:pPr>
            <w:r>
              <w:rPr>
                <w:color w:val="000000"/>
                <w:sz w:val="22"/>
                <w:szCs w:val="22"/>
              </w:rPr>
              <w:t>$57,459</w:t>
            </w:r>
          </w:p>
        </w:tc>
        <w:tc>
          <w:tcPr>
            <w:tcW w:w="1530" w:type="dxa"/>
            <w:tcBorders>
              <w:top w:val="nil"/>
              <w:left w:val="nil"/>
              <w:bottom w:val="single" w:sz="8" w:space="0" w:color="auto"/>
              <w:right w:val="single" w:sz="8" w:space="0" w:color="auto"/>
            </w:tcBorders>
            <w:shd w:val="clear" w:color="auto" w:fill="auto"/>
            <w:noWrap/>
            <w:vAlign w:val="center"/>
          </w:tcPr>
          <w:p w14:paraId="0BDDF619" w14:textId="77777777" w:rsidR="00B04363" w:rsidRDefault="009560AD">
            <w:pPr>
              <w:jc w:val="right"/>
              <w:rPr>
                <w:color w:val="000000"/>
                <w:sz w:val="22"/>
                <w:szCs w:val="22"/>
              </w:rPr>
            </w:pPr>
            <w:r>
              <w:rPr>
                <w:color w:val="000000"/>
                <w:sz w:val="22"/>
                <w:szCs w:val="22"/>
              </w:rPr>
              <w:t>$66,393</w:t>
            </w:r>
          </w:p>
        </w:tc>
        <w:tc>
          <w:tcPr>
            <w:tcW w:w="1530" w:type="dxa"/>
            <w:tcBorders>
              <w:top w:val="nil"/>
              <w:left w:val="nil"/>
              <w:bottom w:val="single" w:sz="8" w:space="0" w:color="auto"/>
              <w:right w:val="nil"/>
            </w:tcBorders>
          </w:tcPr>
          <w:p w14:paraId="5D36C76A" w14:textId="77777777" w:rsidR="00B04363" w:rsidRDefault="009560AD">
            <w:pPr>
              <w:jc w:val="right"/>
              <w:rPr>
                <w:color w:val="000000"/>
                <w:sz w:val="22"/>
                <w:szCs w:val="22"/>
              </w:rPr>
            </w:pPr>
            <w:r>
              <w:rPr>
                <w:color w:val="000000"/>
                <w:sz w:val="22"/>
                <w:szCs w:val="22"/>
              </w:rPr>
              <w:t>$31,219</w:t>
            </w:r>
          </w:p>
        </w:tc>
        <w:tc>
          <w:tcPr>
            <w:tcW w:w="1656" w:type="dxa"/>
            <w:tcBorders>
              <w:top w:val="nil"/>
              <w:left w:val="nil"/>
              <w:bottom w:val="single" w:sz="8" w:space="0" w:color="auto"/>
              <w:right w:val="single" w:sz="8" w:space="0" w:color="auto"/>
            </w:tcBorders>
            <w:shd w:val="clear" w:color="auto" w:fill="auto"/>
            <w:noWrap/>
            <w:vAlign w:val="center"/>
          </w:tcPr>
          <w:p w14:paraId="198D1F67" w14:textId="77777777" w:rsidR="00B04363" w:rsidRDefault="00D5022C">
            <w:pPr>
              <w:jc w:val="right"/>
              <w:rPr>
                <w:color w:val="000000"/>
                <w:sz w:val="22"/>
                <w:szCs w:val="22"/>
              </w:rPr>
            </w:pPr>
            <w:r>
              <w:rPr>
                <w:color w:val="000000"/>
                <w:sz w:val="22"/>
                <w:szCs w:val="22"/>
              </w:rPr>
              <w:t>$155,071</w:t>
            </w:r>
          </w:p>
        </w:tc>
      </w:tr>
      <w:tr w:rsidR="00B04363" w14:paraId="4264CF46" w14:textId="77777777" w:rsidTr="00B04363">
        <w:trPr>
          <w:trHeight w:val="315"/>
        </w:trPr>
        <w:tc>
          <w:tcPr>
            <w:tcW w:w="3677" w:type="dxa"/>
            <w:tcBorders>
              <w:top w:val="nil"/>
              <w:left w:val="single" w:sz="8" w:space="0" w:color="auto"/>
              <w:bottom w:val="single" w:sz="8" w:space="0" w:color="auto"/>
              <w:right w:val="single" w:sz="8" w:space="0" w:color="auto"/>
            </w:tcBorders>
            <w:shd w:val="clear" w:color="auto" w:fill="auto"/>
            <w:noWrap/>
            <w:vAlign w:val="center"/>
            <w:hideMark/>
          </w:tcPr>
          <w:p w14:paraId="02ADCDA9" w14:textId="77777777" w:rsidR="00B04363" w:rsidRDefault="00B04363">
            <w:pPr>
              <w:rPr>
                <w:color w:val="000000"/>
                <w:sz w:val="22"/>
                <w:szCs w:val="22"/>
              </w:rPr>
            </w:pPr>
            <w:r>
              <w:rPr>
                <w:color w:val="000000"/>
                <w:sz w:val="22"/>
                <w:szCs w:val="22"/>
              </w:rPr>
              <w:t>Indirect Charges (</w:t>
            </w:r>
            <w:r w:rsidR="007E02E6">
              <w:rPr>
                <w:color w:val="000000"/>
                <w:sz w:val="22"/>
                <w:szCs w:val="22"/>
              </w:rPr>
              <w:t>23.</w:t>
            </w:r>
            <w:bookmarkStart w:id="0" w:name="_GoBack"/>
            <w:bookmarkEnd w:id="0"/>
            <w:r w:rsidR="007E02E6">
              <w:rPr>
                <w:color w:val="000000"/>
                <w:sz w:val="22"/>
                <w:szCs w:val="22"/>
              </w:rPr>
              <w:t>31</w:t>
            </w:r>
            <w:r>
              <w:rPr>
                <w:color w:val="000000"/>
                <w:sz w:val="22"/>
                <w:szCs w:val="22"/>
              </w:rPr>
              <w:t>%)</w:t>
            </w:r>
          </w:p>
        </w:tc>
        <w:tc>
          <w:tcPr>
            <w:tcW w:w="1373" w:type="dxa"/>
            <w:tcBorders>
              <w:top w:val="nil"/>
              <w:left w:val="nil"/>
              <w:bottom w:val="single" w:sz="8" w:space="0" w:color="auto"/>
              <w:right w:val="single" w:sz="8" w:space="0" w:color="auto"/>
            </w:tcBorders>
            <w:shd w:val="clear" w:color="auto" w:fill="auto"/>
            <w:noWrap/>
            <w:vAlign w:val="center"/>
          </w:tcPr>
          <w:p w14:paraId="60B7796D" w14:textId="77777777" w:rsidR="00B04363" w:rsidRDefault="009560AD">
            <w:pPr>
              <w:jc w:val="right"/>
              <w:rPr>
                <w:color w:val="000000"/>
                <w:sz w:val="22"/>
                <w:szCs w:val="22"/>
              </w:rPr>
            </w:pPr>
            <w:r>
              <w:rPr>
                <w:color w:val="000000"/>
                <w:sz w:val="22"/>
                <w:szCs w:val="22"/>
              </w:rPr>
              <w:t>$13,394</w:t>
            </w:r>
          </w:p>
        </w:tc>
        <w:tc>
          <w:tcPr>
            <w:tcW w:w="1530" w:type="dxa"/>
            <w:tcBorders>
              <w:top w:val="nil"/>
              <w:left w:val="nil"/>
              <w:bottom w:val="single" w:sz="8" w:space="0" w:color="auto"/>
              <w:right w:val="single" w:sz="8" w:space="0" w:color="auto"/>
            </w:tcBorders>
            <w:shd w:val="clear" w:color="auto" w:fill="auto"/>
            <w:noWrap/>
            <w:vAlign w:val="center"/>
          </w:tcPr>
          <w:p w14:paraId="79BA2ACE" w14:textId="77777777" w:rsidR="00B04363" w:rsidRDefault="009560AD">
            <w:pPr>
              <w:jc w:val="right"/>
              <w:rPr>
                <w:color w:val="000000"/>
                <w:sz w:val="22"/>
                <w:szCs w:val="22"/>
              </w:rPr>
            </w:pPr>
            <w:r>
              <w:rPr>
                <w:color w:val="000000"/>
                <w:sz w:val="22"/>
                <w:szCs w:val="22"/>
              </w:rPr>
              <w:t>$15,476</w:t>
            </w:r>
          </w:p>
        </w:tc>
        <w:tc>
          <w:tcPr>
            <w:tcW w:w="1530" w:type="dxa"/>
            <w:tcBorders>
              <w:top w:val="nil"/>
              <w:left w:val="nil"/>
              <w:bottom w:val="single" w:sz="8" w:space="0" w:color="auto"/>
              <w:right w:val="nil"/>
            </w:tcBorders>
          </w:tcPr>
          <w:p w14:paraId="76091A5E" w14:textId="77777777" w:rsidR="00B04363" w:rsidRDefault="009560AD">
            <w:pPr>
              <w:jc w:val="right"/>
              <w:rPr>
                <w:color w:val="000000"/>
                <w:sz w:val="22"/>
                <w:szCs w:val="22"/>
              </w:rPr>
            </w:pPr>
            <w:r>
              <w:rPr>
                <w:color w:val="000000"/>
                <w:sz w:val="22"/>
                <w:szCs w:val="22"/>
              </w:rPr>
              <w:t>$7,277</w:t>
            </w:r>
          </w:p>
        </w:tc>
        <w:tc>
          <w:tcPr>
            <w:tcW w:w="1656" w:type="dxa"/>
            <w:tcBorders>
              <w:top w:val="nil"/>
              <w:left w:val="nil"/>
              <w:bottom w:val="single" w:sz="8" w:space="0" w:color="auto"/>
              <w:right w:val="single" w:sz="8" w:space="0" w:color="auto"/>
            </w:tcBorders>
            <w:shd w:val="clear" w:color="auto" w:fill="auto"/>
            <w:noWrap/>
            <w:vAlign w:val="center"/>
          </w:tcPr>
          <w:p w14:paraId="564579F7" w14:textId="77777777" w:rsidR="00B04363" w:rsidRDefault="00D5022C">
            <w:pPr>
              <w:jc w:val="right"/>
              <w:rPr>
                <w:color w:val="000000"/>
                <w:sz w:val="22"/>
                <w:szCs w:val="22"/>
              </w:rPr>
            </w:pPr>
            <w:r>
              <w:rPr>
                <w:color w:val="000000"/>
                <w:sz w:val="22"/>
                <w:szCs w:val="22"/>
              </w:rPr>
              <w:t>$36,147</w:t>
            </w:r>
          </w:p>
        </w:tc>
      </w:tr>
      <w:tr w:rsidR="00B04363" w14:paraId="290B31B6" w14:textId="77777777" w:rsidTr="00B04363">
        <w:trPr>
          <w:trHeight w:val="315"/>
        </w:trPr>
        <w:tc>
          <w:tcPr>
            <w:tcW w:w="3677" w:type="dxa"/>
            <w:tcBorders>
              <w:top w:val="nil"/>
              <w:left w:val="single" w:sz="8" w:space="0" w:color="auto"/>
              <w:bottom w:val="nil"/>
              <w:right w:val="single" w:sz="8" w:space="0" w:color="auto"/>
            </w:tcBorders>
            <w:shd w:val="clear" w:color="auto" w:fill="auto"/>
            <w:noWrap/>
            <w:vAlign w:val="center"/>
            <w:hideMark/>
          </w:tcPr>
          <w:p w14:paraId="30708267" w14:textId="77777777" w:rsidR="00B04363" w:rsidRDefault="00B04363">
            <w:pPr>
              <w:rPr>
                <w:b/>
                <w:bCs/>
                <w:color w:val="000000"/>
                <w:sz w:val="22"/>
                <w:szCs w:val="22"/>
              </w:rPr>
            </w:pPr>
            <w:r>
              <w:rPr>
                <w:b/>
                <w:bCs/>
                <w:color w:val="000000"/>
                <w:sz w:val="22"/>
                <w:szCs w:val="22"/>
              </w:rPr>
              <w:t>Total Cost</w:t>
            </w:r>
          </w:p>
        </w:tc>
        <w:tc>
          <w:tcPr>
            <w:tcW w:w="1373" w:type="dxa"/>
            <w:tcBorders>
              <w:top w:val="nil"/>
              <w:left w:val="nil"/>
              <w:bottom w:val="nil"/>
              <w:right w:val="single" w:sz="8" w:space="0" w:color="auto"/>
            </w:tcBorders>
            <w:shd w:val="clear" w:color="auto" w:fill="auto"/>
            <w:noWrap/>
            <w:vAlign w:val="center"/>
          </w:tcPr>
          <w:p w14:paraId="67477851" w14:textId="77777777" w:rsidR="00B04363" w:rsidRDefault="009560AD">
            <w:pPr>
              <w:jc w:val="right"/>
              <w:rPr>
                <w:color w:val="000000"/>
                <w:sz w:val="22"/>
                <w:szCs w:val="22"/>
              </w:rPr>
            </w:pPr>
            <w:r>
              <w:rPr>
                <w:color w:val="000000"/>
                <w:sz w:val="22"/>
                <w:szCs w:val="22"/>
              </w:rPr>
              <w:t>$70,853</w:t>
            </w:r>
          </w:p>
        </w:tc>
        <w:tc>
          <w:tcPr>
            <w:tcW w:w="1530" w:type="dxa"/>
            <w:tcBorders>
              <w:top w:val="nil"/>
              <w:left w:val="nil"/>
              <w:bottom w:val="nil"/>
              <w:right w:val="single" w:sz="8" w:space="0" w:color="auto"/>
            </w:tcBorders>
            <w:shd w:val="clear" w:color="auto" w:fill="auto"/>
            <w:noWrap/>
            <w:vAlign w:val="center"/>
          </w:tcPr>
          <w:p w14:paraId="3BDF9F88" w14:textId="77777777" w:rsidR="00B04363" w:rsidRDefault="009560AD">
            <w:pPr>
              <w:jc w:val="right"/>
              <w:rPr>
                <w:color w:val="000000"/>
                <w:sz w:val="22"/>
                <w:szCs w:val="22"/>
              </w:rPr>
            </w:pPr>
            <w:r>
              <w:rPr>
                <w:color w:val="000000"/>
                <w:sz w:val="22"/>
                <w:szCs w:val="22"/>
              </w:rPr>
              <w:t>$81,869</w:t>
            </w:r>
          </w:p>
        </w:tc>
        <w:tc>
          <w:tcPr>
            <w:tcW w:w="1530" w:type="dxa"/>
            <w:tcBorders>
              <w:top w:val="nil"/>
              <w:left w:val="nil"/>
              <w:bottom w:val="nil"/>
              <w:right w:val="nil"/>
            </w:tcBorders>
          </w:tcPr>
          <w:p w14:paraId="0CF7F1A9" w14:textId="77777777" w:rsidR="00B04363" w:rsidRDefault="009560AD">
            <w:pPr>
              <w:jc w:val="right"/>
              <w:rPr>
                <w:color w:val="000000"/>
                <w:sz w:val="22"/>
                <w:szCs w:val="22"/>
              </w:rPr>
            </w:pPr>
            <w:r>
              <w:rPr>
                <w:color w:val="000000"/>
                <w:sz w:val="22"/>
                <w:szCs w:val="22"/>
              </w:rPr>
              <w:t>$38,496</w:t>
            </w:r>
          </w:p>
        </w:tc>
        <w:tc>
          <w:tcPr>
            <w:tcW w:w="1656" w:type="dxa"/>
            <w:tcBorders>
              <w:top w:val="nil"/>
              <w:left w:val="nil"/>
              <w:bottom w:val="nil"/>
              <w:right w:val="single" w:sz="8" w:space="0" w:color="auto"/>
            </w:tcBorders>
            <w:shd w:val="clear" w:color="auto" w:fill="auto"/>
            <w:noWrap/>
            <w:vAlign w:val="center"/>
          </w:tcPr>
          <w:p w14:paraId="1EFE9E4A" w14:textId="77777777" w:rsidR="00B04363" w:rsidRDefault="00D5022C">
            <w:pPr>
              <w:jc w:val="right"/>
              <w:rPr>
                <w:color w:val="000000"/>
                <w:sz w:val="22"/>
                <w:szCs w:val="22"/>
              </w:rPr>
            </w:pPr>
            <w:r>
              <w:rPr>
                <w:color w:val="000000"/>
                <w:sz w:val="22"/>
                <w:szCs w:val="22"/>
              </w:rPr>
              <w:t>191,218</w:t>
            </w:r>
          </w:p>
        </w:tc>
      </w:tr>
      <w:tr w:rsidR="00B04363" w14:paraId="3903D7F1" w14:textId="77777777" w:rsidTr="00B04363">
        <w:trPr>
          <w:trHeight w:val="315"/>
        </w:trPr>
        <w:tc>
          <w:tcPr>
            <w:tcW w:w="3677" w:type="dxa"/>
            <w:tcBorders>
              <w:top w:val="nil"/>
              <w:left w:val="single" w:sz="8" w:space="0" w:color="auto"/>
              <w:bottom w:val="single" w:sz="8" w:space="0" w:color="auto"/>
              <w:right w:val="single" w:sz="8" w:space="0" w:color="auto"/>
            </w:tcBorders>
            <w:shd w:val="clear" w:color="auto" w:fill="auto"/>
            <w:noWrap/>
            <w:vAlign w:val="center"/>
          </w:tcPr>
          <w:p w14:paraId="2D7EC8C4" w14:textId="77777777" w:rsidR="00B04363" w:rsidRDefault="00B04363">
            <w:pPr>
              <w:rPr>
                <w:b/>
                <w:bCs/>
                <w:color w:val="000000"/>
                <w:sz w:val="22"/>
                <w:szCs w:val="22"/>
              </w:rPr>
            </w:pPr>
          </w:p>
        </w:tc>
        <w:tc>
          <w:tcPr>
            <w:tcW w:w="1373" w:type="dxa"/>
            <w:tcBorders>
              <w:top w:val="nil"/>
              <w:left w:val="nil"/>
              <w:bottom w:val="single" w:sz="8" w:space="0" w:color="auto"/>
              <w:right w:val="single" w:sz="8" w:space="0" w:color="auto"/>
            </w:tcBorders>
            <w:shd w:val="clear" w:color="auto" w:fill="auto"/>
            <w:noWrap/>
            <w:vAlign w:val="center"/>
          </w:tcPr>
          <w:p w14:paraId="73E8E323" w14:textId="77777777" w:rsidR="00B04363" w:rsidRDefault="00B04363">
            <w:pPr>
              <w:jc w:val="right"/>
              <w:rPr>
                <w:color w:val="000000"/>
                <w:sz w:val="22"/>
                <w:szCs w:val="22"/>
              </w:rPr>
            </w:pPr>
          </w:p>
        </w:tc>
        <w:tc>
          <w:tcPr>
            <w:tcW w:w="1530" w:type="dxa"/>
            <w:tcBorders>
              <w:top w:val="nil"/>
              <w:left w:val="nil"/>
              <w:bottom w:val="single" w:sz="8" w:space="0" w:color="auto"/>
              <w:right w:val="single" w:sz="8" w:space="0" w:color="auto"/>
            </w:tcBorders>
            <w:shd w:val="clear" w:color="auto" w:fill="auto"/>
            <w:noWrap/>
            <w:vAlign w:val="center"/>
          </w:tcPr>
          <w:p w14:paraId="485EB10C" w14:textId="77777777" w:rsidR="00B04363" w:rsidRDefault="00B04363">
            <w:pPr>
              <w:jc w:val="right"/>
              <w:rPr>
                <w:color w:val="000000"/>
                <w:sz w:val="22"/>
                <w:szCs w:val="22"/>
              </w:rPr>
            </w:pPr>
          </w:p>
        </w:tc>
        <w:tc>
          <w:tcPr>
            <w:tcW w:w="1530" w:type="dxa"/>
            <w:tcBorders>
              <w:top w:val="nil"/>
              <w:left w:val="nil"/>
              <w:bottom w:val="single" w:sz="8" w:space="0" w:color="auto"/>
              <w:right w:val="nil"/>
            </w:tcBorders>
          </w:tcPr>
          <w:p w14:paraId="73BAF299" w14:textId="77777777" w:rsidR="00B04363" w:rsidRDefault="00B04363">
            <w:pPr>
              <w:jc w:val="right"/>
              <w:rPr>
                <w:color w:val="000000"/>
                <w:sz w:val="22"/>
                <w:szCs w:val="22"/>
              </w:rPr>
            </w:pPr>
          </w:p>
        </w:tc>
        <w:tc>
          <w:tcPr>
            <w:tcW w:w="1656" w:type="dxa"/>
            <w:tcBorders>
              <w:top w:val="nil"/>
              <w:left w:val="nil"/>
              <w:bottom w:val="single" w:sz="8" w:space="0" w:color="auto"/>
              <w:right w:val="single" w:sz="8" w:space="0" w:color="auto"/>
            </w:tcBorders>
            <w:shd w:val="clear" w:color="auto" w:fill="auto"/>
            <w:noWrap/>
            <w:vAlign w:val="center"/>
          </w:tcPr>
          <w:p w14:paraId="65F9BE3B" w14:textId="77777777" w:rsidR="00B04363" w:rsidRDefault="00B04363">
            <w:pPr>
              <w:jc w:val="right"/>
              <w:rPr>
                <w:color w:val="000000"/>
                <w:sz w:val="22"/>
                <w:szCs w:val="22"/>
              </w:rPr>
            </w:pPr>
          </w:p>
        </w:tc>
      </w:tr>
    </w:tbl>
    <w:p w14:paraId="638011B7" w14:textId="77777777" w:rsidR="00295C26" w:rsidRPr="00A61E20" w:rsidRDefault="00295C26" w:rsidP="002A67AA">
      <w:pPr>
        <w:rPr>
          <w:i/>
        </w:rPr>
      </w:pPr>
    </w:p>
    <w:p w14:paraId="4334792A" w14:textId="77777777" w:rsidR="002526C2" w:rsidRPr="00A61E20" w:rsidRDefault="00A61E20" w:rsidP="002A67AA">
      <w:pPr>
        <w:rPr>
          <w:i/>
        </w:rPr>
      </w:pPr>
      <w:r w:rsidRPr="00942604">
        <w:rPr>
          <w:i/>
        </w:rPr>
        <w:t>Note that only Year 1 funds are provided as part of this grant agreement. Year 2 funds will be awarded at a later time in an addendum to this grant, pending successful completion of Year 1 deliverables. Year 2 is included in this Scope of Work for project planning purposes only</w:t>
      </w:r>
    </w:p>
    <w:p w14:paraId="4F19185F" w14:textId="77777777" w:rsidR="00A61E20" w:rsidRDefault="00A61E20" w:rsidP="002A67AA"/>
    <w:p w14:paraId="10C8E5BB" w14:textId="77777777" w:rsidR="00BB18EA" w:rsidRDefault="00043516" w:rsidP="00043516">
      <w:pPr>
        <w:rPr>
          <w:b/>
          <w:i/>
        </w:rPr>
      </w:pPr>
      <w:r>
        <w:rPr>
          <w:b/>
          <w:i/>
        </w:rPr>
        <w:t>Budget</w:t>
      </w:r>
      <w:r w:rsidR="006F6570">
        <w:rPr>
          <w:b/>
          <w:i/>
        </w:rPr>
        <w:t xml:space="preserve"> </w:t>
      </w:r>
      <w:r w:rsidR="00C0331F">
        <w:rPr>
          <w:b/>
          <w:i/>
        </w:rPr>
        <w:t>Detail</w:t>
      </w:r>
      <w:r w:rsidR="006F6570">
        <w:rPr>
          <w:b/>
          <w:i/>
        </w:rPr>
        <w:t xml:space="preserve">: </w:t>
      </w:r>
    </w:p>
    <w:p w14:paraId="0621FC05" w14:textId="77777777" w:rsidR="00BD4204" w:rsidRDefault="00BD4204" w:rsidP="00043516">
      <w:pPr>
        <w:rPr>
          <w:b/>
          <w:i/>
        </w:rPr>
      </w:pPr>
    </w:p>
    <w:p w14:paraId="60CE116C" w14:textId="77777777" w:rsidR="007E02E6" w:rsidRPr="004E32CC" w:rsidRDefault="007E02E6" w:rsidP="007E02E6">
      <w:pPr>
        <w:pStyle w:val="ListParagraph"/>
        <w:spacing w:after="200"/>
        <w:ind w:left="0"/>
        <w:rPr>
          <w:sz w:val="22"/>
          <w:szCs w:val="22"/>
        </w:rPr>
      </w:pPr>
      <w:r w:rsidRPr="004E32CC">
        <w:rPr>
          <w:sz w:val="22"/>
          <w:szCs w:val="22"/>
        </w:rPr>
        <w:t>WDNR is partnering with TNC on this project. Funding will be provided to TNC in an agreement to complete project work.</w:t>
      </w:r>
      <w:r w:rsidR="004E32CC">
        <w:rPr>
          <w:sz w:val="22"/>
          <w:szCs w:val="22"/>
        </w:rPr>
        <w:t xml:space="preserve"> </w:t>
      </w:r>
      <w:r w:rsidRPr="004E32CC">
        <w:rPr>
          <w:sz w:val="22"/>
          <w:szCs w:val="22"/>
        </w:rPr>
        <w:t xml:space="preserve">TNC will apply a majority of these funds to the direct costs of restoring and enhancing the Big-I parcel, including any permit fees and contracts for construction work, invasive plant control, tree/brush removal, planting, and post-construction monitoring of the site. Grant funds will also be used to cover salary, benefits, and travel costs for TNC staff to oversee project implementation at the site and manage the contracts. Since this property was purchased with federal funds, there will also be costs associated with an archaeological assessment and on-site consultation that is likely to be needed prior to beginning any restoration/enhancement work on the property, especially in the existing wetland areas.  The remainder of the budget accounts for TNC’s negotiated and approved indirect cost rate, currently 23.31%, with their cognizant agency. TNC estimates that once restoration work commences, about 80% of the total budget will be spent in Year 1 and Year 2 of the project and the other 20% in Year 3 for post-construction monitoring and maintenance to ensure project success. See </w:t>
      </w:r>
      <w:r w:rsidR="004E32CC">
        <w:rPr>
          <w:sz w:val="22"/>
          <w:szCs w:val="22"/>
        </w:rPr>
        <w:t>Project Budget</w:t>
      </w:r>
      <w:r w:rsidRPr="004E32CC">
        <w:rPr>
          <w:sz w:val="22"/>
          <w:szCs w:val="22"/>
        </w:rPr>
        <w:t xml:space="preserve"> </w:t>
      </w:r>
      <w:r w:rsidR="004E32CC">
        <w:rPr>
          <w:sz w:val="22"/>
          <w:szCs w:val="22"/>
        </w:rPr>
        <w:t xml:space="preserve">above </w:t>
      </w:r>
      <w:r w:rsidRPr="004E32CC">
        <w:rPr>
          <w:sz w:val="22"/>
          <w:szCs w:val="22"/>
        </w:rPr>
        <w:t xml:space="preserve">for itemized costs. </w:t>
      </w:r>
    </w:p>
    <w:p w14:paraId="5C7F529F" w14:textId="77777777" w:rsidR="002A67AA" w:rsidRPr="002B2003" w:rsidRDefault="002A67AA" w:rsidP="002A67AA"/>
    <w:p w14:paraId="1B91774E" w14:textId="77777777" w:rsidR="002A67AA" w:rsidRPr="00B8106C" w:rsidRDefault="002A67AA" w:rsidP="002A67AA">
      <w:pPr>
        <w:autoSpaceDE w:val="0"/>
        <w:autoSpaceDN w:val="0"/>
        <w:adjustRightInd w:val="0"/>
      </w:pPr>
    </w:p>
    <w:sectPr w:rsidR="002A67AA" w:rsidRPr="00B8106C" w:rsidSect="00C20366">
      <w:headerReference w:type="default" r:id="rId10"/>
      <w:foot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BB879" w14:textId="77777777" w:rsidR="001E149D" w:rsidRDefault="001E149D">
      <w:r>
        <w:separator/>
      </w:r>
    </w:p>
  </w:endnote>
  <w:endnote w:type="continuationSeparator" w:id="0">
    <w:p w14:paraId="64352EFE" w14:textId="77777777" w:rsidR="001E149D" w:rsidRDefault="001E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14B77" w14:textId="3266EA42" w:rsidR="0035060D" w:rsidRDefault="00D02208" w:rsidP="00FC60E2">
    <w:pPr>
      <w:pStyle w:val="Footer"/>
      <w:jc w:val="center"/>
    </w:pPr>
    <w:r>
      <w:rPr>
        <w:rStyle w:val="PageNumber"/>
      </w:rPr>
      <w:fldChar w:fldCharType="begin"/>
    </w:r>
    <w:r>
      <w:rPr>
        <w:rStyle w:val="PageNumber"/>
      </w:rPr>
      <w:instrText xml:space="preserve"> PAGE </w:instrText>
    </w:r>
    <w:r>
      <w:rPr>
        <w:rStyle w:val="PageNumber"/>
      </w:rPr>
      <w:fldChar w:fldCharType="separate"/>
    </w:r>
    <w:r w:rsidR="00942604">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3C404" w14:textId="77777777" w:rsidR="001E149D" w:rsidRDefault="001E149D">
      <w:r>
        <w:separator/>
      </w:r>
    </w:p>
  </w:footnote>
  <w:footnote w:type="continuationSeparator" w:id="0">
    <w:p w14:paraId="320B79A9" w14:textId="77777777" w:rsidR="001E149D" w:rsidRDefault="001E1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AC58D" w14:textId="77777777" w:rsidR="00643015" w:rsidRDefault="00643015" w:rsidP="0064301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F7"/>
    <w:rsid w:val="0000197E"/>
    <w:rsid w:val="00021B25"/>
    <w:rsid w:val="0003786C"/>
    <w:rsid w:val="00043516"/>
    <w:rsid w:val="00071256"/>
    <w:rsid w:val="00076404"/>
    <w:rsid w:val="000B2DB7"/>
    <w:rsid w:val="000D05E7"/>
    <w:rsid w:val="001009C6"/>
    <w:rsid w:val="00117FB1"/>
    <w:rsid w:val="00122CF5"/>
    <w:rsid w:val="0013058B"/>
    <w:rsid w:val="001C21EA"/>
    <w:rsid w:val="001C4747"/>
    <w:rsid w:val="001E149D"/>
    <w:rsid w:val="0022108D"/>
    <w:rsid w:val="002526C2"/>
    <w:rsid w:val="00261426"/>
    <w:rsid w:val="00261FBB"/>
    <w:rsid w:val="002916FF"/>
    <w:rsid w:val="00295C26"/>
    <w:rsid w:val="00296139"/>
    <w:rsid w:val="002A67AA"/>
    <w:rsid w:val="002E5EA4"/>
    <w:rsid w:val="00331DF5"/>
    <w:rsid w:val="00344A33"/>
    <w:rsid w:val="003705E4"/>
    <w:rsid w:val="003A6619"/>
    <w:rsid w:val="003F1DE1"/>
    <w:rsid w:val="00444246"/>
    <w:rsid w:val="004A12F7"/>
    <w:rsid w:val="004A16D8"/>
    <w:rsid w:val="004C1E49"/>
    <w:rsid w:val="004E32CC"/>
    <w:rsid w:val="005124F4"/>
    <w:rsid w:val="00590D58"/>
    <w:rsid w:val="005F690A"/>
    <w:rsid w:val="006277E8"/>
    <w:rsid w:val="00643015"/>
    <w:rsid w:val="00644974"/>
    <w:rsid w:val="00656899"/>
    <w:rsid w:val="006D57B1"/>
    <w:rsid w:val="006E1C68"/>
    <w:rsid w:val="006F6570"/>
    <w:rsid w:val="00791543"/>
    <w:rsid w:val="007A3556"/>
    <w:rsid w:val="007E02E6"/>
    <w:rsid w:val="008555D0"/>
    <w:rsid w:val="008B6003"/>
    <w:rsid w:val="008F3BD5"/>
    <w:rsid w:val="00923F37"/>
    <w:rsid w:val="009317CE"/>
    <w:rsid w:val="00942604"/>
    <w:rsid w:val="009560AD"/>
    <w:rsid w:val="00972B1D"/>
    <w:rsid w:val="009B1DA7"/>
    <w:rsid w:val="009D5DC9"/>
    <w:rsid w:val="00A041D9"/>
    <w:rsid w:val="00A04680"/>
    <w:rsid w:val="00A346B9"/>
    <w:rsid w:val="00A61E20"/>
    <w:rsid w:val="00A8081B"/>
    <w:rsid w:val="00A81549"/>
    <w:rsid w:val="00AB7177"/>
    <w:rsid w:val="00B04363"/>
    <w:rsid w:val="00B3363F"/>
    <w:rsid w:val="00B94BCE"/>
    <w:rsid w:val="00BA0CFC"/>
    <w:rsid w:val="00BB18EA"/>
    <w:rsid w:val="00BD4204"/>
    <w:rsid w:val="00C0331F"/>
    <w:rsid w:val="00C04A0C"/>
    <w:rsid w:val="00C2005A"/>
    <w:rsid w:val="00C200E8"/>
    <w:rsid w:val="00C76810"/>
    <w:rsid w:val="00C86C3C"/>
    <w:rsid w:val="00C87F1F"/>
    <w:rsid w:val="00C954D3"/>
    <w:rsid w:val="00CD0A6D"/>
    <w:rsid w:val="00CF6B20"/>
    <w:rsid w:val="00CF7FC6"/>
    <w:rsid w:val="00D02208"/>
    <w:rsid w:val="00D20684"/>
    <w:rsid w:val="00D221D4"/>
    <w:rsid w:val="00D5022C"/>
    <w:rsid w:val="00DA595A"/>
    <w:rsid w:val="00DD11CD"/>
    <w:rsid w:val="00EC6086"/>
    <w:rsid w:val="00F140D4"/>
    <w:rsid w:val="00F40BAE"/>
    <w:rsid w:val="00F43F03"/>
    <w:rsid w:val="00F648A0"/>
    <w:rsid w:val="00FB6E68"/>
    <w:rsid w:val="00FD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7E7B50D"/>
  <w15:docId w15:val="{6A29B4C0-7546-4531-AA8F-DE44ABE6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12F7"/>
    <w:rPr>
      <w:sz w:val="24"/>
      <w:szCs w:val="24"/>
    </w:rPr>
  </w:style>
  <w:style w:type="paragraph" w:styleId="Heading1">
    <w:name w:val="heading 1"/>
    <w:basedOn w:val="Normal"/>
    <w:next w:val="Normal"/>
    <w:link w:val="Heading1Char"/>
    <w:qFormat/>
    <w:rsid w:val="004A12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2F7"/>
    <w:rPr>
      <w:rFonts w:ascii="Arial" w:hAnsi="Arial" w:cs="Arial"/>
      <w:b/>
      <w:bCs/>
      <w:kern w:val="32"/>
      <w:sz w:val="32"/>
      <w:szCs w:val="32"/>
    </w:rPr>
  </w:style>
  <w:style w:type="paragraph" w:styleId="Footer">
    <w:name w:val="footer"/>
    <w:basedOn w:val="Normal"/>
    <w:link w:val="FooterChar"/>
    <w:rsid w:val="004A12F7"/>
    <w:pPr>
      <w:tabs>
        <w:tab w:val="center" w:pos="4320"/>
        <w:tab w:val="right" w:pos="8640"/>
      </w:tabs>
    </w:pPr>
  </w:style>
  <w:style w:type="character" w:customStyle="1" w:styleId="FooterChar">
    <w:name w:val="Footer Char"/>
    <w:basedOn w:val="DefaultParagraphFont"/>
    <w:link w:val="Footer"/>
    <w:rsid w:val="004A12F7"/>
    <w:rPr>
      <w:sz w:val="24"/>
      <w:szCs w:val="24"/>
    </w:rPr>
  </w:style>
  <w:style w:type="character" w:styleId="PageNumber">
    <w:name w:val="page number"/>
    <w:basedOn w:val="DefaultParagraphFont"/>
    <w:rsid w:val="004A12F7"/>
  </w:style>
  <w:style w:type="paragraph" w:customStyle="1" w:styleId="BodyNoIndent">
    <w:name w:val="BodyNoIndent"/>
    <w:basedOn w:val="BodyText"/>
    <w:rsid w:val="004A12F7"/>
    <w:pPr>
      <w:spacing w:after="0" w:line="360" w:lineRule="auto"/>
    </w:pPr>
    <w:rPr>
      <w:rFonts w:ascii="Times" w:hAnsi="Times"/>
      <w:sz w:val="22"/>
      <w:szCs w:val="20"/>
    </w:rPr>
  </w:style>
  <w:style w:type="paragraph" w:styleId="BodyText">
    <w:name w:val="Body Text"/>
    <w:basedOn w:val="Normal"/>
    <w:link w:val="BodyTextChar"/>
    <w:rsid w:val="004A12F7"/>
    <w:pPr>
      <w:spacing w:after="120"/>
    </w:pPr>
  </w:style>
  <w:style w:type="character" w:customStyle="1" w:styleId="BodyTextChar">
    <w:name w:val="Body Text Char"/>
    <w:basedOn w:val="DefaultParagraphFont"/>
    <w:link w:val="BodyText"/>
    <w:rsid w:val="004A12F7"/>
    <w:rPr>
      <w:sz w:val="24"/>
      <w:szCs w:val="24"/>
    </w:rPr>
  </w:style>
  <w:style w:type="paragraph" w:customStyle="1" w:styleId="reference">
    <w:name w:val="reference"/>
    <w:basedOn w:val="Normal"/>
    <w:link w:val="referenceChar"/>
    <w:rsid w:val="002A67AA"/>
    <w:pPr>
      <w:spacing w:line="360" w:lineRule="auto"/>
      <w:ind w:left="720" w:hanging="720"/>
    </w:pPr>
  </w:style>
  <w:style w:type="character" w:customStyle="1" w:styleId="referenceChar">
    <w:name w:val="reference Char"/>
    <w:basedOn w:val="DefaultParagraphFont"/>
    <w:link w:val="reference"/>
    <w:rsid w:val="002A67AA"/>
    <w:rPr>
      <w:sz w:val="24"/>
      <w:szCs w:val="24"/>
    </w:rPr>
  </w:style>
  <w:style w:type="paragraph" w:customStyle="1" w:styleId="Reference0">
    <w:name w:val="Reference"/>
    <w:basedOn w:val="Normal"/>
    <w:link w:val="ReferenceChar0"/>
    <w:qFormat/>
    <w:rsid w:val="002A67AA"/>
    <w:pPr>
      <w:widowControl w:val="0"/>
      <w:autoSpaceDE w:val="0"/>
      <w:autoSpaceDN w:val="0"/>
      <w:adjustRightInd w:val="0"/>
      <w:spacing w:before="120" w:after="120" w:line="276" w:lineRule="auto"/>
      <w:ind w:left="720" w:hanging="720"/>
    </w:pPr>
    <w:rPr>
      <w:rFonts w:eastAsiaTheme="minorEastAsia"/>
      <w:sz w:val="22"/>
      <w:szCs w:val="22"/>
    </w:rPr>
  </w:style>
  <w:style w:type="character" w:customStyle="1" w:styleId="ReferenceChar0">
    <w:name w:val="Reference Char"/>
    <w:link w:val="Reference0"/>
    <w:rsid w:val="002A67AA"/>
    <w:rPr>
      <w:rFonts w:eastAsiaTheme="minorEastAsia"/>
      <w:sz w:val="22"/>
      <w:szCs w:val="22"/>
    </w:rPr>
  </w:style>
  <w:style w:type="paragraph" w:styleId="BalloonText">
    <w:name w:val="Balloon Text"/>
    <w:basedOn w:val="Normal"/>
    <w:link w:val="BalloonTextChar"/>
    <w:rsid w:val="00C76810"/>
    <w:rPr>
      <w:rFonts w:ascii="Tahoma" w:hAnsi="Tahoma" w:cs="Tahoma"/>
      <w:sz w:val="16"/>
      <w:szCs w:val="16"/>
    </w:rPr>
  </w:style>
  <w:style w:type="character" w:customStyle="1" w:styleId="BalloonTextChar">
    <w:name w:val="Balloon Text Char"/>
    <w:basedOn w:val="DefaultParagraphFont"/>
    <w:link w:val="BalloonText"/>
    <w:rsid w:val="00C76810"/>
    <w:rPr>
      <w:rFonts w:ascii="Tahoma" w:hAnsi="Tahoma" w:cs="Tahoma"/>
      <w:sz w:val="16"/>
      <w:szCs w:val="16"/>
    </w:rPr>
  </w:style>
  <w:style w:type="paragraph" w:styleId="Header">
    <w:name w:val="header"/>
    <w:basedOn w:val="Normal"/>
    <w:link w:val="HeaderChar"/>
    <w:rsid w:val="00344A33"/>
    <w:pPr>
      <w:tabs>
        <w:tab w:val="center" w:pos="4680"/>
        <w:tab w:val="right" w:pos="9360"/>
      </w:tabs>
    </w:pPr>
  </w:style>
  <w:style w:type="character" w:customStyle="1" w:styleId="HeaderChar">
    <w:name w:val="Header Char"/>
    <w:basedOn w:val="DefaultParagraphFont"/>
    <w:link w:val="Header"/>
    <w:rsid w:val="00344A33"/>
    <w:rPr>
      <w:sz w:val="24"/>
      <w:szCs w:val="24"/>
    </w:rPr>
  </w:style>
  <w:style w:type="character" w:styleId="Hyperlink">
    <w:name w:val="Hyperlink"/>
    <w:basedOn w:val="DefaultParagraphFont"/>
    <w:rsid w:val="003705E4"/>
    <w:rPr>
      <w:color w:val="0000FF" w:themeColor="hyperlink"/>
      <w:u w:val="single"/>
    </w:rPr>
  </w:style>
  <w:style w:type="paragraph" w:customStyle="1" w:styleId="Default">
    <w:name w:val="Default"/>
    <w:rsid w:val="003705E4"/>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8555D0"/>
    <w:pPr>
      <w:ind w:left="720"/>
      <w:contextualSpacing/>
    </w:pPr>
  </w:style>
  <w:style w:type="character" w:styleId="UnresolvedMention">
    <w:name w:val="Unresolved Mention"/>
    <w:basedOn w:val="DefaultParagraphFont"/>
    <w:uiPriority w:val="99"/>
    <w:semiHidden/>
    <w:unhideWhenUsed/>
    <w:rsid w:val="00C954D3"/>
    <w:rPr>
      <w:color w:val="808080"/>
      <w:shd w:val="clear" w:color="auto" w:fill="E6E6E6"/>
    </w:rPr>
  </w:style>
  <w:style w:type="character" w:styleId="CommentReference">
    <w:name w:val="annotation reference"/>
    <w:basedOn w:val="DefaultParagraphFont"/>
    <w:semiHidden/>
    <w:unhideWhenUsed/>
    <w:rsid w:val="00117FB1"/>
    <w:rPr>
      <w:sz w:val="16"/>
      <w:szCs w:val="16"/>
    </w:rPr>
  </w:style>
  <w:style w:type="paragraph" w:styleId="CommentText">
    <w:name w:val="annotation text"/>
    <w:basedOn w:val="Normal"/>
    <w:link w:val="CommentTextChar"/>
    <w:semiHidden/>
    <w:unhideWhenUsed/>
    <w:rsid w:val="00117FB1"/>
    <w:rPr>
      <w:sz w:val="20"/>
      <w:szCs w:val="20"/>
    </w:rPr>
  </w:style>
  <w:style w:type="character" w:customStyle="1" w:styleId="CommentTextChar">
    <w:name w:val="Comment Text Char"/>
    <w:basedOn w:val="DefaultParagraphFont"/>
    <w:link w:val="CommentText"/>
    <w:semiHidden/>
    <w:rsid w:val="00117FB1"/>
  </w:style>
  <w:style w:type="paragraph" w:styleId="CommentSubject">
    <w:name w:val="annotation subject"/>
    <w:basedOn w:val="CommentText"/>
    <w:next w:val="CommentText"/>
    <w:link w:val="CommentSubjectChar"/>
    <w:semiHidden/>
    <w:unhideWhenUsed/>
    <w:rsid w:val="00117FB1"/>
    <w:rPr>
      <w:b/>
      <w:bCs/>
    </w:rPr>
  </w:style>
  <w:style w:type="character" w:customStyle="1" w:styleId="CommentSubjectChar">
    <w:name w:val="Comment Subject Char"/>
    <w:basedOn w:val="CommentTextChar"/>
    <w:link w:val="CommentSubject"/>
    <w:semiHidden/>
    <w:rsid w:val="00117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4589">
      <w:bodyDiv w:val="1"/>
      <w:marLeft w:val="0"/>
      <w:marRight w:val="0"/>
      <w:marTop w:val="0"/>
      <w:marBottom w:val="0"/>
      <w:divBdr>
        <w:top w:val="none" w:sz="0" w:space="0" w:color="auto"/>
        <w:left w:val="none" w:sz="0" w:space="0" w:color="auto"/>
        <w:bottom w:val="none" w:sz="0" w:space="0" w:color="auto"/>
        <w:right w:val="none" w:sz="0" w:space="0" w:color="auto"/>
      </w:divBdr>
    </w:div>
    <w:div w:id="837421610">
      <w:bodyDiv w:val="1"/>
      <w:marLeft w:val="0"/>
      <w:marRight w:val="0"/>
      <w:marTop w:val="0"/>
      <w:marBottom w:val="0"/>
      <w:divBdr>
        <w:top w:val="none" w:sz="0" w:space="0" w:color="auto"/>
        <w:left w:val="none" w:sz="0" w:space="0" w:color="auto"/>
        <w:bottom w:val="none" w:sz="0" w:space="0" w:color="auto"/>
        <w:right w:val="none" w:sz="0" w:space="0" w:color="auto"/>
      </w:divBdr>
    </w:div>
    <w:div w:id="842359375">
      <w:bodyDiv w:val="1"/>
      <w:marLeft w:val="0"/>
      <w:marRight w:val="0"/>
      <w:marTop w:val="0"/>
      <w:marBottom w:val="0"/>
      <w:divBdr>
        <w:top w:val="none" w:sz="0" w:space="0" w:color="auto"/>
        <w:left w:val="none" w:sz="0" w:space="0" w:color="auto"/>
        <w:bottom w:val="none" w:sz="0" w:space="0" w:color="auto"/>
        <w:right w:val="none" w:sz="0" w:space="0" w:color="auto"/>
      </w:divBdr>
    </w:div>
    <w:div w:id="1215234312">
      <w:bodyDiv w:val="1"/>
      <w:marLeft w:val="0"/>
      <w:marRight w:val="0"/>
      <w:marTop w:val="0"/>
      <w:marBottom w:val="0"/>
      <w:divBdr>
        <w:top w:val="none" w:sz="0" w:space="0" w:color="auto"/>
        <w:left w:val="none" w:sz="0" w:space="0" w:color="auto"/>
        <w:bottom w:val="none" w:sz="0" w:space="0" w:color="auto"/>
        <w:right w:val="none" w:sz="0" w:space="0" w:color="auto"/>
      </w:divBdr>
    </w:div>
    <w:div w:id="1421564574">
      <w:bodyDiv w:val="1"/>
      <w:marLeft w:val="0"/>
      <w:marRight w:val="0"/>
      <w:marTop w:val="0"/>
      <w:marBottom w:val="0"/>
      <w:divBdr>
        <w:top w:val="none" w:sz="0" w:space="0" w:color="auto"/>
        <w:left w:val="none" w:sz="0" w:space="0" w:color="auto"/>
        <w:bottom w:val="none" w:sz="0" w:space="0" w:color="auto"/>
        <w:right w:val="none" w:sz="0" w:space="0" w:color="auto"/>
      </w:divBdr>
    </w:div>
    <w:div w:id="1479033462">
      <w:bodyDiv w:val="1"/>
      <w:marLeft w:val="0"/>
      <w:marRight w:val="0"/>
      <w:marTop w:val="0"/>
      <w:marBottom w:val="0"/>
      <w:divBdr>
        <w:top w:val="none" w:sz="0" w:space="0" w:color="auto"/>
        <w:left w:val="none" w:sz="0" w:space="0" w:color="auto"/>
        <w:bottom w:val="none" w:sz="0" w:space="0" w:color="auto"/>
        <w:right w:val="none" w:sz="0" w:space="0" w:color="auto"/>
      </w:divBdr>
    </w:div>
    <w:div w:id="16472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fandel@wisconsin.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cki_disdier@tnc.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judge@tnc.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 Megan C</dc:creator>
  <cp:lastModifiedBy>Punke, Emily M - DNR</cp:lastModifiedBy>
  <cp:revision>15</cp:revision>
  <cp:lastPrinted>2016-05-19T14:53:00Z</cp:lastPrinted>
  <dcterms:created xsi:type="dcterms:W3CDTF">2018-04-26T15:15:00Z</dcterms:created>
  <dcterms:modified xsi:type="dcterms:W3CDTF">2018-05-14T17:23:00Z</dcterms:modified>
</cp:coreProperties>
</file>