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BF" w:rsidRDefault="004772AD" w:rsidP="004772AD">
      <w:pPr>
        <w:jc w:val="center"/>
        <w:rPr>
          <w:b/>
        </w:rPr>
      </w:pPr>
      <w:r w:rsidRPr="00FC2FF1">
        <w:rPr>
          <w:b/>
        </w:rPr>
        <w:t>Grand R</w:t>
      </w:r>
      <w:r w:rsidR="0093395C" w:rsidRPr="00FC2FF1">
        <w:rPr>
          <w:b/>
        </w:rPr>
        <w:t>iver Total Phosphorus Report</w:t>
      </w:r>
    </w:p>
    <w:p w:rsidR="001F30BF" w:rsidRDefault="001F30BF" w:rsidP="004772AD">
      <w:pPr>
        <w:jc w:val="center"/>
        <w:rPr>
          <w:b/>
        </w:rPr>
      </w:pPr>
    </w:p>
    <w:p w:rsidR="006344BF" w:rsidRPr="00FC2FF1" w:rsidRDefault="004772AD" w:rsidP="00FE7E78">
      <w:pPr>
        <w:rPr>
          <w:b/>
        </w:rPr>
      </w:pPr>
      <w:r w:rsidRPr="00FC2FF1">
        <w:rPr>
          <w:b/>
        </w:rPr>
        <w:br/>
      </w:r>
    </w:p>
    <w:p w:rsidR="004772AD" w:rsidRPr="00FC2FF1" w:rsidRDefault="004772AD" w:rsidP="004772AD">
      <w:pPr>
        <w:rPr>
          <w:b/>
          <w:u w:val="single"/>
        </w:rPr>
      </w:pPr>
      <w:r w:rsidRPr="00FC2FF1">
        <w:rPr>
          <w:b/>
          <w:u w:val="single"/>
        </w:rPr>
        <w:t>Purpose</w:t>
      </w:r>
    </w:p>
    <w:p w:rsidR="000F5821" w:rsidRDefault="000F5821" w:rsidP="004772AD">
      <w:pPr>
        <w:rPr>
          <w:u w:val="single"/>
        </w:rPr>
      </w:pPr>
    </w:p>
    <w:p w:rsidR="000F5821" w:rsidRPr="00600A4E" w:rsidRDefault="000D20C4" w:rsidP="004772AD">
      <w:r>
        <w:t>Samples were collected</w:t>
      </w:r>
      <w:r w:rsidR="00C86884">
        <w:t xml:space="preserve"> </w:t>
      </w:r>
      <w:r>
        <w:t xml:space="preserve">to determine background total phosphorus </w:t>
      </w:r>
      <w:r w:rsidR="00C86884">
        <w:t xml:space="preserve">(TP) </w:t>
      </w:r>
      <w:r>
        <w:t>concentrations for wastewater facility permit effluent limit calculations</w:t>
      </w:r>
      <w:r w:rsidR="00C86884">
        <w:t xml:space="preserve"> for facilities at </w:t>
      </w:r>
      <w:r w:rsidR="006C6CCD">
        <w:t>Fairwater, Markesan, and Kingston</w:t>
      </w:r>
      <w:r>
        <w:t>.</w:t>
      </w:r>
      <w:r w:rsidR="00C86884">
        <w:t xml:space="preserve">  The TP concentrations were also used to determine whether </w:t>
      </w:r>
      <w:r w:rsidR="006C6CCD">
        <w:t>in-stream water quality standards were being met in the Grand River.</w:t>
      </w:r>
    </w:p>
    <w:p w:rsidR="004772AD" w:rsidRDefault="004772AD" w:rsidP="004772AD">
      <w:pPr>
        <w:rPr>
          <w:u w:val="single"/>
        </w:rPr>
      </w:pPr>
    </w:p>
    <w:p w:rsidR="004772AD" w:rsidRPr="00FC2FF1" w:rsidRDefault="004772AD" w:rsidP="004772AD">
      <w:pPr>
        <w:rPr>
          <w:b/>
          <w:u w:val="single"/>
        </w:rPr>
      </w:pPr>
      <w:r w:rsidRPr="00FC2FF1">
        <w:rPr>
          <w:b/>
          <w:u w:val="single"/>
        </w:rPr>
        <w:t>Methods</w:t>
      </w:r>
    </w:p>
    <w:p w:rsidR="00931FDC" w:rsidRDefault="00931FDC" w:rsidP="004772AD">
      <w:pPr>
        <w:rPr>
          <w:u w:val="single"/>
        </w:rPr>
      </w:pPr>
    </w:p>
    <w:p w:rsidR="000B2645" w:rsidRDefault="002367FE" w:rsidP="004772AD">
      <w:r>
        <w:t>Four monthly g</w:t>
      </w:r>
      <w:r w:rsidR="000B2645">
        <w:t xml:space="preserve">rab samples </w:t>
      </w:r>
      <w:r>
        <w:t xml:space="preserve">for Total Phosphorus </w:t>
      </w:r>
      <w:r w:rsidR="000B2645">
        <w:t>w</w:t>
      </w:r>
      <w:r>
        <w:t>ere collected in 250 mL bottles upstream of wastewater treatment facility discharge points</w:t>
      </w:r>
      <w:r w:rsidR="00600A4E">
        <w:t xml:space="preserve"> to the Grand River</w:t>
      </w:r>
      <w:r>
        <w:t xml:space="preserve"> at Fairwater (</w:t>
      </w:r>
      <w:proofErr w:type="spellStart"/>
      <w:r>
        <w:t>Lat</w:t>
      </w:r>
      <w:proofErr w:type="spellEnd"/>
      <w:r>
        <w:t>/Long 43°43’53’’N,88°52’55’’W), Markesan (</w:t>
      </w:r>
      <w:proofErr w:type="spellStart"/>
      <w:r>
        <w:t>Lat</w:t>
      </w:r>
      <w:proofErr w:type="spellEnd"/>
      <w:r>
        <w:t>/Long 43°42’19’’N,88°59’23</w:t>
      </w:r>
      <w:r w:rsidRPr="002367FE">
        <w:t>’’W)</w:t>
      </w:r>
      <w:r w:rsidR="000F5821">
        <w:t>, and Kingston (</w:t>
      </w:r>
      <w:proofErr w:type="spellStart"/>
      <w:r w:rsidR="000F5821">
        <w:t>Lat</w:t>
      </w:r>
      <w:proofErr w:type="spellEnd"/>
      <w:r w:rsidR="000F5821">
        <w:t>/Long 43°42’7’’N,89°8’27</w:t>
      </w:r>
      <w:r w:rsidR="000F5821" w:rsidRPr="000F5821">
        <w:t>’’W)</w:t>
      </w:r>
      <w:r w:rsidR="000F5821">
        <w:t>.  The samples were collected on 07/18/2012, 08/20/2012, 09/</w:t>
      </w:r>
      <w:r w:rsidR="00FC2FF1">
        <w:t>17/2012, and 10/16/2012</w:t>
      </w:r>
      <w:r w:rsidR="006C6CCD">
        <w:t xml:space="preserve"> and sent on ice to the State Lab of Hygiene</w:t>
      </w:r>
      <w:r w:rsidR="000F5821">
        <w:t>.</w:t>
      </w:r>
    </w:p>
    <w:p w:rsidR="001F30BF" w:rsidRDefault="001F30BF" w:rsidP="004772AD"/>
    <w:p w:rsidR="001F30BF" w:rsidRPr="000B2645" w:rsidRDefault="001F30BF" w:rsidP="004772AD"/>
    <w:p w:rsidR="00931FDC" w:rsidRDefault="00931FDC" w:rsidP="004772AD">
      <w:pPr>
        <w:rPr>
          <w:u w:val="single"/>
        </w:rPr>
      </w:pPr>
    </w:p>
    <w:p w:rsidR="005C4A9E" w:rsidRDefault="001656EB" w:rsidP="000B2645">
      <w:pPr>
        <w:jc w:val="center"/>
        <w:rPr>
          <w:u w:val="single"/>
        </w:rPr>
      </w:pPr>
      <w:r>
        <w:rPr>
          <w:noProof/>
        </w:rPr>
        <w:pict>
          <v:shapetype id="_x0000_t202" coordsize="21600,21600" o:spt="202" path="m,l,21600r21600,l21600,xe">
            <v:stroke joinstyle="miter"/>
            <v:path gradientshapeok="t" o:connecttype="rect"/>
          </v:shapetype>
          <v:shape id="_x0000_s1036" type="#_x0000_t202" style="position:absolute;left:0;text-align:left;margin-left:313.8pt;margin-top:108.9pt;width:55.95pt;height:17.2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0B2645" w:rsidRPr="000B2645" w:rsidRDefault="000B2645" w:rsidP="000B2645">
                  <w:pPr>
                    <w:rPr>
                      <w:sz w:val="16"/>
                      <w:szCs w:val="16"/>
                    </w:rPr>
                  </w:pPr>
                  <w:r>
                    <w:rPr>
                      <w:sz w:val="16"/>
                      <w:szCs w:val="16"/>
                    </w:rPr>
                    <w:t>Fairwater</w:t>
                  </w:r>
                </w:p>
              </w:txbxContent>
            </v:textbox>
          </v:shape>
        </w:pict>
      </w:r>
      <w:r>
        <w:rPr>
          <w:noProof/>
        </w:rPr>
        <w:pict>
          <v:shape id="_x0000_s1035" type="#_x0000_t202" style="position:absolute;left:0;text-align:left;margin-left:214.05pt;margin-top:141.9pt;width:55.95pt;height:17.2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0B2645" w:rsidRPr="000B2645" w:rsidRDefault="000B2645" w:rsidP="000B2645">
                  <w:pPr>
                    <w:rPr>
                      <w:sz w:val="16"/>
                      <w:szCs w:val="16"/>
                    </w:rPr>
                  </w:pPr>
                  <w:r>
                    <w:rPr>
                      <w:sz w:val="16"/>
                      <w:szCs w:val="16"/>
                    </w:rPr>
                    <w:t>Markesan</w:t>
                  </w:r>
                </w:p>
              </w:txbxContent>
            </v:textbox>
          </v:shape>
        </w:pict>
      </w:r>
      <w:r>
        <w:rPr>
          <w:noProof/>
        </w:rPr>
        <w:pict>
          <v:shape id="Text Box 2" o:spid="_x0000_s1032" type="#_x0000_t202" style="position:absolute;left:0;text-align:left;margin-left:76.45pt;margin-top:148.65pt;width:55.95pt;height:17.2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w:txbxContent>
                <w:p w:rsidR="000B2645" w:rsidRPr="000B2645" w:rsidRDefault="000B2645">
                  <w:pPr>
                    <w:rPr>
                      <w:sz w:val="16"/>
                      <w:szCs w:val="16"/>
                    </w:rPr>
                  </w:pPr>
                  <w:r w:rsidRPr="000B2645">
                    <w:rPr>
                      <w:sz w:val="16"/>
                      <w:szCs w:val="16"/>
                    </w:rPr>
                    <w:t>Kingston</w:t>
                  </w:r>
                </w:p>
              </w:txbxContent>
            </v:textbox>
          </v:shape>
        </w:pict>
      </w:r>
      <w:r w:rsidR="00931FDC">
        <w:rPr>
          <w:noProof/>
          <w:u w:val="single"/>
        </w:rPr>
        <w:drawing>
          <wp:inline distT="0" distB="0" distL="0" distR="0">
            <wp:extent cx="4476750" cy="3449181"/>
            <wp:effectExtent l="19050" t="1905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3449181"/>
                    </a:xfrm>
                    <a:prstGeom prst="rect">
                      <a:avLst/>
                    </a:prstGeom>
                    <a:noFill/>
                    <a:ln>
                      <a:solidFill>
                        <a:schemeClr val="tx1"/>
                      </a:solidFill>
                    </a:ln>
                  </pic:spPr>
                </pic:pic>
              </a:graphicData>
            </a:graphic>
          </wp:inline>
        </w:drawing>
      </w:r>
    </w:p>
    <w:p w:rsidR="004772AD" w:rsidRDefault="004772AD" w:rsidP="004772AD">
      <w:pPr>
        <w:rPr>
          <w:u w:val="single"/>
        </w:rPr>
      </w:pPr>
    </w:p>
    <w:p w:rsidR="001F30BF" w:rsidRDefault="001F30BF" w:rsidP="004772AD">
      <w:pPr>
        <w:rPr>
          <w:u w:val="single"/>
        </w:rPr>
      </w:pPr>
    </w:p>
    <w:p w:rsidR="001F30BF" w:rsidRDefault="001F30BF" w:rsidP="004772AD">
      <w:pPr>
        <w:rPr>
          <w:u w:val="single"/>
        </w:rPr>
      </w:pPr>
    </w:p>
    <w:p w:rsidR="00FE7E78" w:rsidRDefault="00FE7E78" w:rsidP="004772AD">
      <w:pPr>
        <w:rPr>
          <w:u w:val="single"/>
        </w:rPr>
      </w:pPr>
    </w:p>
    <w:p w:rsidR="004772AD" w:rsidRDefault="004772AD" w:rsidP="004772AD">
      <w:pPr>
        <w:rPr>
          <w:b/>
          <w:u w:val="single"/>
        </w:rPr>
      </w:pPr>
      <w:r w:rsidRPr="00FC2FF1">
        <w:rPr>
          <w:b/>
          <w:u w:val="single"/>
        </w:rPr>
        <w:lastRenderedPageBreak/>
        <w:t>Results &amp; Discussion</w:t>
      </w:r>
    </w:p>
    <w:p w:rsidR="001F30BF" w:rsidRDefault="001F30BF" w:rsidP="004772AD">
      <w:pPr>
        <w:rPr>
          <w:b/>
          <w:u w:val="single"/>
        </w:rPr>
      </w:pPr>
    </w:p>
    <w:p w:rsidR="00FC2FF1" w:rsidRDefault="00FC2FF1" w:rsidP="004772AD">
      <w:pPr>
        <w:rPr>
          <w:b/>
          <w:u w:val="single"/>
        </w:rPr>
      </w:pPr>
    </w:p>
    <w:tbl>
      <w:tblPr>
        <w:tblW w:w="5300" w:type="dxa"/>
        <w:jc w:val="center"/>
        <w:tblInd w:w="93" w:type="dxa"/>
        <w:tblLook w:val="04A0" w:firstRow="1" w:lastRow="0" w:firstColumn="1" w:lastColumn="0" w:noHBand="0" w:noVBand="1"/>
      </w:tblPr>
      <w:tblGrid>
        <w:gridCol w:w="967"/>
        <w:gridCol w:w="1073"/>
        <w:gridCol w:w="2420"/>
        <w:gridCol w:w="992"/>
      </w:tblGrid>
      <w:tr w:rsidR="00FC2FF1" w:rsidTr="00600A4E">
        <w:trPr>
          <w:trHeight w:val="300"/>
          <w:jc w:val="center"/>
        </w:trPr>
        <w:tc>
          <w:tcPr>
            <w:tcW w:w="960" w:type="dxa"/>
            <w:tcBorders>
              <w:top w:val="nil"/>
              <w:left w:val="nil"/>
              <w:bottom w:val="nil"/>
              <w:right w:val="nil"/>
            </w:tcBorders>
            <w:shd w:val="clear" w:color="auto" w:fill="auto"/>
            <w:noWrap/>
            <w:vAlign w:val="bottom"/>
            <w:hideMark/>
          </w:tcPr>
          <w:p w:rsidR="00FC2FF1" w:rsidRDefault="00FC2FF1">
            <w:pPr>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rsidR="00FC2FF1" w:rsidRDefault="00FC2FF1">
            <w:pPr>
              <w:rPr>
                <w:rFonts w:ascii="Calibri" w:hAnsi="Calibri" w:cs="Calibri"/>
                <w:color w:val="000000"/>
                <w:sz w:val="22"/>
                <w:szCs w:val="22"/>
              </w:rPr>
            </w:pPr>
          </w:p>
        </w:tc>
        <w:tc>
          <w:tcPr>
            <w:tcW w:w="2420" w:type="dxa"/>
            <w:tcBorders>
              <w:top w:val="nil"/>
              <w:left w:val="nil"/>
              <w:bottom w:val="nil"/>
              <w:right w:val="nil"/>
            </w:tcBorders>
            <w:shd w:val="clear" w:color="auto" w:fill="auto"/>
            <w:noWrap/>
            <w:vAlign w:val="bottom"/>
            <w:hideMark/>
          </w:tcPr>
          <w:p w:rsidR="00FC2FF1" w:rsidRPr="00FC2FF1" w:rsidRDefault="00600A4E" w:rsidP="00FC2FF1">
            <w:pPr>
              <w:jc w:val="center"/>
              <w:rPr>
                <w:rFonts w:ascii="Calibri" w:hAnsi="Calibri" w:cs="Calibri"/>
                <w:b/>
                <w:bCs/>
                <w:iCs/>
                <w:color w:val="000000"/>
                <w:sz w:val="22"/>
                <w:szCs w:val="22"/>
              </w:rPr>
            </w:pPr>
            <w:r>
              <w:rPr>
                <w:rFonts w:ascii="Calibri" w:hAnsi="Calibri" w:cs="Calibri"/>
                <w:b/>
                <w:bCs/>
                <w:iCs/>
                <w:color w:val="000000"/>
                <w:sz w:val="22"/>
                <w:szCs w:val="22"/>
              </w:rPr>
              <w:t>Total Phosphorus</w:t>
            </w:r>
            <w:r w:rsidR="00FC2FF1" w:rsidRPr="00FC2FF1">
              <w:rPr>
                <w:rFonts w:ascii="Calibri" w:hAnsi="Calibri" w:cs="Calibri"/>
                <w:b/>
                <w:bCs/>
                <w:iCs/>
                <w:color w:val="000000"/>
                <w:sz w:val="22"/>
                <w:szCs w:val="22"/>
              </w:rPr>
              <w:t>(mg/L)</w:t>
            </w:r>
          </w:p>
        </w:tc>
        <w:tc>
          <w:tcPr>
            <w:tcW w:w="920" w:type="dxa"/>
            <w:tcBorders>
              <w:top w:val="nil"/>
              <w:left w:val="nil"/>
              <w:bottom w:val="nil"/>
              <w:right w:val="nil"/>
            </w:tcBorders>
            <w:shd w:val="clear" w:color="auto" w:fill="auto"/>
            <w:noWrap/>
            <w:vAlign w:val="bottom"/>
            <w:hideMark/>
          </w:tcPr>
          <w:p w:rsidR="00FC2FF1" w:rsidRDefault="00FC2FF1">
            <w:pPr>
              <w:rPr>
                <w:rFonts w:ascii="Calibri" w:hAnsi="Calibri" w:cs="Calibri"/>
                <w:color w:val="000000"/>
                <w:sz w:val="22"/>
                <w:szCs w:val="22"/>
              </w:rPr>
            </w:pPr>
          </w:p>
        </w:tc>
      </w:tr>
      <w:tr w:rsidR="00FC2FF1" w:rsidTr="00600A4E">
        <w:trPr>
          <w:trHeight w:val="315"/>
          <w:jc w:val="center"/>
        </w:trPr>
        <w:tc>
          <w:tcPr>
            <w:tcW w:w="960" w:type="dxa"/>
            <w:tcBorders>
              <w:top w:val="nil"/>
              <w:left w:val="nil"/>
              <w:bottom w:val="nil"/>
              <w:right w:val="nil"/>
            </w:tcBorders>
            <w:shd w:val="clear" w:color="auto" w:fill="auto"/>
            <w:noWrap/>
            <w:vAlign w:val="bottom"/>
            <w:hideMark/>
          </w:tcPr>
          <w:p w:rsidR="00FC2FF1" w:rsidRDefault="00FC2FF1">
            <w:pPr>
              <w:rPr>
                <w:rFonts w:ascii="Calibri" w:hAnsi="Calibri" w:cs="Calibri"/>
                <w:color w:val="000000"/>
                <w:sz w:val="22"/>
                <w:szCs w:val="22"/>
              </w:rPr>
            </w:pPr>
          </w:p>
        </w:tc>
        <w:tc>
          <w:tcPr>
            <w:tcW w:w="1000" w:type="dxa"/>
            <w:tcBorders>
              <w:top w:val="nil"/>
              <w:left w:val="nil"/>
              <w:bottom w:val="double" w:sz="6" w:space="0" w:color="auto"/>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Fairwater</w:t>
            </w:r>
          </w:p>
        </w:tc>
        <w:tc>
          <w:tcPr>
            <w:tcW w:w="2420" w:type="dxa"/>
            <w:tcBorders>
              <w:top w:val="nil"/>
              <w:left w:val="nil"/>
              <w:bottom w:val="double" w:sz="6" w:space="0" w:color="auto"/>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Markesan</w:t>
            </w:r>
          </w:p>
        </w:tc>
        <w:tc>
          <w:tcPr>
            <w:tcW w:w="920" w:type="dxa"/>
            <w:tcBorders>
              <w:top w:val="nil"/>
              <w:left w:val="nil"/>
              <w:bottom w:val="double" w:sz="6" w:space="0" w:color="auto"/>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Kingston</w:t>
            </w:r>
          </w:p>
        </w:tc>
      </w:tr>
      <w:tr w:rsidR="00FC2FF1" w:rsidTr="00600A4E">
        <w:trPr>
          <w:trHeight w:val="315"/>
          <w:jc w:val="center"/>
        </w:trPr>
        <w:tc>
          <w:tcPr>
            <w:tcW w:w="96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b/>
                <w:bCs/>
                <w:color w:val="000000"/>
                <w:sz w:val="22"/>
                <w:szCs w:val="22"/>
              </w:rPr>
            </w:pPr>
            <w:r>
              <w:rPr>
                <w:rFonts w:ascii="Calibri" w:hAnsi="Calibri" w:cs="Calibri"/>
                <w:b/>
                <w:bCs/>
                <w:color w:val="000000"/>
                <w:sz w:val="22"/>
                <w:szCs w:val="22"/>
              </w:rPr>
              <w:t>18-Jul</w:t>
            </w:r>
          </w:p>
        </w:tc>
        <w:tc>
          <w:tcPr>
            <w:tcW w:w="100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0.196</w:t>
            </w:r>
          </w:p>
        </w:tc>
        <w:tc>
          <w:tcPr>
            <w:tcW w:w="24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0.521</w:t>
            </w:r>
          </w:p>
        </w:tc>
        <w:tc>
          <w:tcPr>
            <w:tcW w:w="9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0.359</w:t>
            </w:r>
          </w:p>
        </w:tc>
      </w:tr>
      <w:tr w:rsidR="00FC2FF1" w:rsidTr="00600A4E">
        <w:trPr>
          <w:trHeight w:val="300"/>
          <w:jc w:val="center"/>
        </w:trPr>
        <w:tc>
          <w:tcPr>
            <w:tcW w:w="96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b/>
                <w:bCs/>
                <w:color w:val="000000"/>
                <w:sz w:val="22"/>
                <w:szCs w:val="22"/>
              </w:rPr>
            </w:pPr>
            <w:r>
              <w:rPr>
                <w:rFonts w:ascii="Calibri" w:hAnsi="Calibri" w:cs="Calibri"/>
                <w:b/>
                <w:bCs/>
                <w:color w:val="000000"/>
                <w:sz w:val="22"/>
                <w:szCs w:val="22"/>
              </w:rPr>
              <w:t>20-Aug</w:t>
            </w:r>
          </w:p>
        </w:tc>
        <w:tc>
          <w:tcPr>
            <w:tcW w:w="100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0.154</w:t>
            </w:r>
          </w:p>
        </w:tc>
        <w:tc>
          <w:tcPr>
            <w:tcW w:w="24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0.169</w:t>
            </w:r>
          </w:p>
        </w:tc>
        <w:tc>
          <w:tcPr>
            <w:tcW w:w="9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0.202</w:t>
            </w:r>
          </w:p>
        </w:tc>
      </w:tr>
      <w:tr w:rsidR="00FC2FF1" w:rsidTr="00600A4E">
        <w:trPr>
          <w:trHeight w:val="300"/>
          <w:jc w:val="center"/>
        </w:trPr>
        <w:tc>
          <w:tcPr>
            <w:tcW w:w="96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b/>
                <w:bCs/>
                <w:color w:val="000000"/>
                <w:sz w:val="22"/>
                <w:szCs w:val="22"/>
              </w:rPr>
            </w:pPr>
            <w:r>
              <w:rPr>
                <w:rFonts w:ascii="Calibri" w:hAnsi="Calibri" w:cs="Calibri"/>
                <w:b/>
                <w:bCs/>
                <w:color w:val="000000"/>
                <w:sz w:val="22"/>
                <w:szCs w:val="22"/>
              </w:rPr>
              <w:t>17-Sep</w:t>
            </w:r>
          </w:p>
        </w:tc>
        <w:tc>
          <w:tcPr>
            <w:tcW w:w="100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0.131</w:t>
            </w:r>
          </w:p>
        </w:tc>
        <w:tc>
          <w:tcPr>
            <w:tcW w:w="24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0.299</w:t>
            </w:r>
          </w:p>
        </w:tc>
        <w:tc>
          <w:tcPr>
            <w:tcW w:w="9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0.182</w:t>
            </w:r>
          </w:p>
        </w:tc>
      </w:tr>
      <w:tr w:rsidR="00FC2FF1" w:rsidTr="00600A4E">
        <w:trPr>
          <w:trHeight w:val="300"/>
          <w:jc w:val="center"/>
        </w:trPr>
        <w:tc>
          <w:tcPr>
            <w:tcW w:w="960" w:type="dxa"/>
            <w:tcBorders>
              <w:top w:val="nil"/>
              <w:left w:val="nil"/>
              <w:bottom w:val="single" w:sz="4" w:space="0" w:color="auto"/>
              <w:right w:val="nil"/>
            </w:tcBorders>
            <w:shd w:val="clear" w:color="auto" w:fill="auto"/>
            <w:noWrap/>
            <w:vAlign w:val="bottom"/>
            <w:hideMark/>
          </w:tcPr>
          <w:p w:rsidR="00FC2FF1" w:rsidRDefault="00FC2FF1">
            <w:pPr>
              <w:jc w:val="center"/>
              <w:rPr>
                <w:rFonts w:ascii="Calibri" w:hAnsi="Calibri" w:cs="Calibri"/>
                <w:b/>
                <w:bCs/>
                <w:color w:val="000000"/>
                <w:sz w:val="22"/>
                <w:szCs w:val="22"/>
              </w:rPr>
            </w:pPr>
            <w:r>
              <w:rPr>
                <w:rFonts w:ascii="Calibri" w:hAnsi="Calibri" w:cs="Calibri"/>
                <w:b/>
                <w:bCs/>
                <w:color w:val="000000"/>
                <w:sz w:val="22"/>
                <w:szCs w:val="22"/>
              </w:rPr>
              <w:t>16-Oct</w:t>
            </w:r>
          </w:p>
        </w:tc>
        <w:tc>
          <w:tcPr>
            <w:tcW w:w="1000" w:type="dxa"/>
            <w:tcBorders>
              <w:top w:val="nil"/>
              <w:left w:val="nil"/>
              <w:bottom w:val="single" w:sz="4" w:space="0" w:color="auto"/>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0.209</w:t>
            </w:r>
          </w:p>
        </w:tc>
        <w:tc>
          <w:tcPr>
            <w:tcW w:w="2420" w:type="dxa"/>
            <w:tcBorders>
              <w:top w:val="nil"/>
              <w:left w:val="nil"/>
              <w:bottom w:val="single" w:sz="4" w:space="0" w:color="auto"/>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0.160</w:t>
            </w:r>
          </w:p>
        </w:tc>
        <w:tc>
          <w:tcPr>
            <w:tcW w:w="920" w:type="dxa"/>
            <w:tcBorders>
              <w:top w:val="nil"/>
              <w:left w:val="nil"/>
              <w:bottom w:val="single" w:sz="4" w:space="0" w:color="auto"/>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0.099</w:t>
            </w:r>
          </w:p>
        </w:tc>
      </w:tr>
      <w:tr w:rsidR="00FC2FF1" w:rsidTr="00600A4E">
        <w:trPr>
          <w:trHeight w:val="300"/>
          <w:jc w:val="center"/>
        </w:trPr>
        <w:tc>
          <w:tcPr>
            <w:tcW w:w="96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b/>
                <w:bCs/>
                <w:color w:val="000000"/>
                <w:sz w:val="22"/>
                <w:szCs w:val="22"/>
              </w:rPr>
            </w:pPr>
            <w:r>
              <w:rPr>
                <w:rFonts w:ascii="Calibri" w:hAnsi="Calibri" w:cs="Calibri"/>
                <w:b/>
                <w:bCs/>
                <w:color w:val="000000"/>
                <w:sz w:val="22"/>
                <w:szCs w:val="22"/>
              </w:rPr>
              <w:t>Average</w:t>
            </w:r>
          </w:p>
        </w:tc>
        <w:tc>
          <w:tcPr>
            <w:tcW w:w="100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0.173</w:t>
            </w:r>
          </w:p>
        </w:tc>
        <w:tc>
          <w:tcPr>
            <w:tcW w:w="24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0.287</w:t>
            </w:r>
          </w:p>
        </w:tc>
        <w:tc>
          <w:tcPr>
            <w:tcW w:w="920" w:type="dxa"/>
            <w:tcBorders>
              <w:top w:val="nil"/>
              <w:left w:val="nil"/>
              <w:bottom w:val="nil"/>
              <w:right w:val="nil"/>
            </w:tcBorders>
            <w:shd w:val="clear" w:color="auto" w:fill="auto"/>
            <w:noWrap/>
            <w:vAlign w:val="bottom"/>
            <w:hideMark/>
          </w:tcPr>
          <w:p w:rsidR="00FC2FF1" w:rsidRDefault="00FC2FF1">
            <w:pPr>
              <w:jc w:val="center"/>
              <w:rPr>
                <w:rFonts w:ascii="Calibri" w:hAnsi="Calibri" w:cs="Calibri"/>
                <w:color w:val="000000"/>
                <w:sz w:val="22"/>
                <w:szCs w:val="22"/>
              </w:rPr>
            </w:pPr>
            <w:r>
              <w:rPr>
                <w:rFonts w:ascii="Calibri" w:hAnsi="Calibri" w:cs="Calibri"/>
                <w:color w:val="000000"/>
                <w:sz w:val="22"/>
                <w:szCs w:val="22"/>
              </w:rPr>
              <w:t>0.211</w:t>
            </w:r>
          </w:p>
        </w:tc>
      </w:tr>
      <w:tr w:rsidR="001F30BF" w:rsidTr="00600A4E">
        <w:trPr>
          <w:trHeight w:val="300"/>
          <w:jc w:val="center"/>
        </w:trPr>
        <w:tc>
          <w:tcPr>
            <w:tcW w:w="960" w:type="dxa"/>
            <w:tcBorders>
              <w:top w:val="nil"/>
              <w:left w:val="nil"/>
              <w:bottom w:val="nil"/>
              <w:right w:val="nil"/>
            </w:tcBorders>
            <w:shd w:val="clear" w:color="auto" w:fill="auto"/>
            <w:noWrap/>
            <w:vAlign w:val="bottom"/>
          </w:tcPr>
          <w:p w:rsidR="001F30BF" w:rsidRDefault="001F30BF">
            <w:pPr>
              <w:jc w:val="center"/>
              <w:rPr>
                <w:rFonts w:ascii="Calibri" w:hAnsi="Calibri" w:cs="Calibri"/>
                <w:b/>
                <w:bCs/>
                <w:color w:val="000000"/>
                <w:sz w:val="22"/>
                <w:szCs w:val="22"/>
              </w:rPr>
            </w:pPr>
          </w:p>
          <w:p w:rsidR="001F30BF" w:rsidRDefault="001F30BF">
            <w:pPr>
              <w:jc w:val="center"/>
              <w:rPr>
                <w:rFonts w:ascii="Calibri" w:hAnsi="Calibri" w:cs="Calibri"/>
                <w:b/>
                <w:bCs/>
                <w:color w:val="000000"/>
                <w:sz w:val="22"/>
                <w:szCs w:val="22"/>
              </w:rPr>
            </w:pPr>
          </w:p>
        </w:tc>
        <w:tc>
          <w:tcPr>
            <w:tcW w:w="1000" w:type="dxa"/>
            <w:tcBorders>
              <w:top w:val="nil"/>
              <w:left w:val="nil"/>
              <w:bottom w:val="nil"/>
              <w:right w:val="nil"/>
            </w:tcBorders>
            <w:shd w:val="clear" w:color="auto" w:fill="auto"/>
            <w:noWrap/>
            <w:vAlign w:val="bottom"/>
          </w:tcPr>
          <w:p w:rsidR="001F30BF" w:rsidRDefault="001F30BF">
            <w:pPr>
              <w:jc w:val="center"/>
              <w:rPr>
                <w:rFonts w:ascii="Calibri" w:hAnsi="Calibri" w:cs="Calibri"/>
                <w:color w:val="000000"/>
                <w:sz w:val="22"/>
                <w:szCs w:val="22"/>
              </w:rPr>
            </w:pPr>
          </w:p>
        </w:tc>
        <w:tc>
          <w:tcPr>
            <w:tcW w:w="2420" w:type="dxa"/>
            <w:tcBorders>
              <w:top w:val="nil"/>
              <w:left w:val="nil"/>
              <w:bottom w:val="nil"/>
              <w:right w:val="nil"/>
            </w:tcBorders>
            <w:shd w:val="clear" w:color="auto" w:fill="auto"/>
            <w:noWrap/>
            <w:vAlign w:val="bottom"/>
          </w:tcPr>
          <w:p w:rsidR="001F30BF" w:rsidRDefault="001F30BF">
            <w:pPr>
              <w:jc w:val="cente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tcPr>
          <w:p w:rsidR="001F30BF" w:rsidRDefault="001F30BF">
            <w:pPr>
              <w:jc w:val="center"/>
              <w:rPr>
                <w:rFonts w:ascii="Calibri" w:hAnsi="Calibri" w:cs="Calibri"/>
                <w:color w:val="000000"/>
                <w:sz w:val="22"/>
                <w:szCs w:val="22"/>
              </w:rPr>
            </w:pPr>
          </w:p>
        </w:tc>
      </w:tr>
    </w:tbl>
    <w:p w:rsidR="00FC2FF1" w:rsidRPr="00FC2FF1" w:rsidRDefault="00FC2FF1" w:rsidP="004772AD">
      <w:pPr>
        <w:rPr>
          <w:b/>
          <w:u w:val="single"/>
        </w:rPr>
      </w:pPr>
    </w:p>
    <w:p w:rsidR="00FC2FF1" w:rsidRDefault="00FC2FF1" w:rsidP="004772AD">
      <w:pPr>
        <w:rPr>
          <w:u w:val="single"/>
        </w:rPr>
      </w:pPr>
      <w:r>
        <w:rPr>
          <w:noProof/>
        </w:rPr>
        <w:drawing>
          <wp:inline distT="0" distB="0" distL="0" distR="0" wp14:anchorId="52D1D831" wp14:editId="06B7BA5E">
            <wp:extent cx="5724525" cy="39147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1656EB">
        <w:rPr>
          <w:noProof/>
        </w:rPr>
        <w:pict>
          <v:shape id="TextBox 16" o:spid="_x0000_s1038" type="#_x0000_t202" style="position:absolute;margin-left:0;margin-top:223.5pt;width:59.1pt;height:27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" filled="f" stroked="f">
            <v:textbox>
              <w:txbxContent>
                <w:p w:rsidR="00FC2FF1" w:rsidRDefault="00FC2FF1" w:rsidP="00FC2FF1">
                  <w:pPr>
                    <w:pStyle w:val="NormalWeb"/>
                    <w:spacing w:before="0" w:beforeAutospacing="0" w:after="0" w:afterAutospacing="0"/>
                  </w:pPr>
                  <w:r w:rsidRPr="00FC2FF1">
                    <w:rPr>
                      <w:rFonts w:asciiTheme="minorHAnsi" w:hAnsi="Calibri" w:cstheme="minorBidi"/>
                      <w:b/>
                      <w:bCs/>
                      <w:color w:val="000000" w:themeColor="text1"/>
                      <w:sz w:val="16"/>
                      <w:szCs w:val="16"/>
                    </w:rPr>
                    <w:t>WQ standard</w:t>
                  </w:r>
                </w:p>
                <w:p w:rsidR="00FC2FF1" w:rsidRDefault="00FC2FF1" w:rsidP="00FC2FF1">
                  <w:pPr>
                    <w:pStyle w:val="NormalWeb"/>
                    <w:spacing w:before="0" w:beforeAutospacing="0" w:after="0" w:afterAutospacing="0"/>
                    <w:jc w:val="center"/>
                  </w:pPr>
                  <w:r w:rsidRPr="00FC2FF1">
                    <w:rPr>
                      <w:rFonts w:asciiTheme="minorHAnsi" w:hAnsi="Calibri" w:cstheme="minorBidi"/>
                      <w:b/>
                      <w:bCs/>
                      <w:color w:val="000000" w:themeColor="text1"/>
                      <w:sz w:val="16"/>
                      <w:szCs w:val="16"/>
                    </w:rPr>
                    <w:t>0.075 mg/L</w:t>
                  </w:r>
                </w:p>
              </w:txbxContent>
            </v:textbox>
          </v:shape>
        </w:pict>
      </w:r>
    </w:p>
    <w:p w:rsidR="00FC2FF1" w:rsidRDefault="00FC2FF1" w:rsidP="004772AD">
      <w:pPr>
        <w:rPr>
          <w:u w:val="single"/>
        </w:rPr>
      </w:pPr>
    </w:p>
    <w:p w:rsidR="0064389A" w:rsidRPr="0064389A" w:rsidRDefault="0064389A" w:rsidP="004772AD">
      <w:r>
        <w:t xml:space="preserve">All collected samples exceeded the stream water quality standard of 0.075 mg/L.  In order to determine whether the Grand River is impaired for TP, and can be added to the 303d list, it is recommended that two additional </w:t>
      </w:r>
      <w:r w:rsidR="00FE7E78">
        <w:t xml:space="preserve">water </w:t>
      </w:r>
      <w:r>
        <w:t>samples be collected in June and July of 2013.  In add</w:t>
      </w:r>
      <w:r w:rsidR="001656EB">
        <w:t>ition to the water sampling, macro invertebrate</w:t>
      </w:r>
      <w:bookmarkStart w:id="0" w:name="_GoBack"/>
      <w:bookmarkEnd w:id="0"/>
      <w:r>
        <w:t xml:space="preserve"> samples would</w:t>
      </w:r>
      <w:r w:rsidR="00FE7E78">
        <w:t xml:space="preserve"> also be collected to assist with the impairment determination.  It is also recommended that downstream sections of the Grand River receive monitoring to determine the extent of impairment to the river.  It is likely that </w:t>
      </w:r>
      <w:r w:rsidR="00DB1C80">
        <w:t xml:space="preserve">downstream sections are also impaired but current sampling locations are too far upstream to assist with this determination. </w:t>
      </w:r>
    </w:p>
    <w:sectPr w:rsidR="0064389A" w:rsidRPr="0064389A" w:rsidSect="000B26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772AD"/>
    <w:rsid w:val="000556E6"/>
    <w:rsid w:val="000B2645"/>
    <w:rsid w:val="000D20C4"/>
    <w:rsid w:val="000F5821"/>
    <w:rsid w:val="001656EB"/>
    <w:rsid w:val="001F30BF"/>
    <w:rsid w:val="002367FE"/>
    <w:rsid w:val="004772AD"/>
    <w:rsid w:val="005C4A9E"/>
    <w:rsid w:val="00600A4E"/>
    <w:rsid w:val="006344BF"/>
    <w:rsid w:val="0064389A"/>
    <w:rsid w:val="006C6CCD"/>
    <w:rsid w:val="00931FDC"/>
    <w:rsid w:val="0093395C"/>
    <w:rsid w:val="00C86884"/>
    <w:rsid w:val="00DB1C80"/>
    <w:rsid w:val="00FC2FF1"/>
    <w:rsid w:val="00FE7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1FDC"/>
    <w:rPr>
      <w:rFonts w:ascii="Tahoma" w:hAnsi="Tahoma" w:cs="Tahoma"/>
      <w:sz w:val="16"/>
      <w:szCs w:val="16"/>
    </w:rPr>
  </w:style>
  <w:style w:type="character" w:customStyle="1" w:styleId="BalloonTextChar">
    <w:name w:val="Balloon Text Char"/>
    <w:basedOn w:val="DefaultParagraphFont"/>
    <w:link w:val="BalloonText"/>
    <w:rsid w:val="00931FDC"/>
    <w:rPr>
      <w:rFonts w:ascii="Tahoma" w:hAnsi="Tahoma" w:cs="Tahoma"/>
      <w:sz w:val="16"/>
      <w:szCs w:val="16"/>
    </w:rPr>
  </w:style>
  <w:style w:type="paragraph" w:styleId="NormalWeb">
    <w:name w:val="Normal (Web)"/>
    <w:basedOn w:val="Normal"/>
    <w:uiPriority w:val="99"/>
    <w:unhideWhenUsed/>
    <w:rsid w:val="00FC2FF1"/>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larsosm\Documents\Desktop%20files\Sampling\Grand%20River%20Spreadsheet.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Total</a:t>
            </a:r>
            <a:r>
              <a:rPr lang="en-US" sz="1400" baseline="0"/>
              <a:t> Phosphorus</a:t>
            </a:r>
            <a:endParaRPr lang="en-US" sz="1400"/>
          </a:p>
        </c:rich>
      </c:tx>
      <c:overlay val="0"/>
    </c:title>
    <c:autoTitleDeleted val="0"/>
    <c:plotArea>
      <c:layout/>
      <c:barChart>
        <c:barDir val="col"/>
        <c:grouping val="clustered"/>
        <c:varyColors val="0"/>
        <c:ser>
          <c:idx val="0"/>
          <c:order val="0"/>
          <c:tx>
            <c:v>Fairwater</c:v>
          </c:tx>
          <c:spPr>
            <a:solidFill>
              <a:srgbClr val="7030A0"/>
            </a:solidFill>
          </c:spPr>
          <c:invertIfNegative val="0"/>
          <c:cat>
            <c:strRef>
              <c:f>Sheet1!$A$3:$A$7</c:f>
              <c:strCache>
                <c:ptCount val="5"/>
                <c:pt idx="0">
                  <c:v>18-Jul</c:v>
                </c:pt>
                <c:pt idx="1">
                  <c:v>20-Aug</c:v>
                </c:pt>
                <c:pt idx="2">
                  <c:v>17-Sep</c:v>
                </c:pt>
                <c:pt idx="3">
                  <c:v>16-Oct</c:v>
                </c:pt>
                <c:pt idx="4">
                  <c:v>Average</c:v>
                </c:pt>
              </c:strCache>
            </c:strRef>
          </c:cat>
          <c:val>
            <c:numRef>
              <c:f>Sheet1!$B$3:$B$7</c:f>
              <c:numCache>
                <c:formatCode>0.000</c:formatCode>
                <c:ptCount val="5"/>
                <c:pt idx="0">
                  <c:v>0.19600000000000001</c:v>
                </c:pt>
                <c:pt idx="1">
                  <c:v>0.154</c:v>
                </c:pt>
                <c:pt idx="2">
                  <c:v>0.13100000000000001</c:v>
                </c:pt>
                <c:pt idx="3">
                  <c:v>0.20899999999999999</c:v>
                </c:pt>
                <c:pt idx="4">
                  <c:v>0.17249999999999999</c:v>
                </c:pt>
              </c:numCache>
            </c:numRef>
          </c:val>
        </c:ser>
        <c:ser>
          <c:idx val="1"/>
          <c:order val="1"/>
          <c:tx>
            <c:v>Markesan</c:v>
          </c:tx>
          <c:spPr>
            <a:solidFill>
              <a:srgbClr val="92D050"/>
            </a:solidFill>
          </c:spPr>
          <c:invertIfNegative val="0"/>
          <c:val>
            <c:numRef>
              <c:f>Sheet1!$C$3:$C$7</c:f>
              <c:numCache>
                <c:formatCode>0.000</c:formatCode>
                <c:ptCount val="5"/>
                <c:pt idx="0">
                  <c:v>0.52100000000000002</c:v>
                </c:pt>
                <c:pt idx="1">
                  <c:v>0.16900000000000001</c:v>
                </c:pt>
                <c:pt idx="2">
                  <c:v>0.29899999999999999</c:v>
                </c:pt>
                <c:pt idx="3">
                  <c:v>0.16</c:v>
                </c:pt>
                <c:pt idx="4">
                  <c:v>0.28725000000000001</c:v>
                </c:pt>
              </c:numCache>
            </c:numRef>
          </c:val>
        </c:ser>
        <c:ser>
          <c:idx val="2"/>
          <c:order val="2"/>
          <c:tx>
            <c:v>Kingston</c:v>
          </c:tx>
          <c:spPr>
            <a:solidFill>
              <a:srgbClr val="FF0000"/>
            </a:solidFill>
          </c:spPr>
          <c:invertIfNegative val="0"/>
          <c:val>
            <c:numRef>
              <c:f>Sheet1!$D$3:$D$7</c:f>
              <c:numCache>
                <c:formatCode>0.000</c:formatCode>
                <c:ptCount val="5"/>
                <c:pt idx="0">
                  <c:v>0.35899999999999999</c:v>
                </c:pt>
                <c:pt idx="1">
                  <c:v>0.20200000000000001</c:v>
                </c:pt>
                <c:pt idx="2">
                  <c:v>0.182</c:v>
                </c:pt>
                <c:pt idx="3">
                  <c:v>9.9000000000000005E-2</c:v>
                </c:pt>
                <c:pt idx="4">
                  <c:v>0.21049999999999996</c:v>
                </c:pt>
              </c:numCache>
            </c:numRef>
          </c:val>
        </c:ser>
        <c:dLbls>
          <c:showLegendKey val="0"/>
          <c:showVal val="0"/>
          <c:showCatName val="0"/>
          <c:showSerName val="0"/>
          <c:showPercent val="0"/>
          <c:showBubbleSize val="0"/>
        </c:dLbls>
        <c:gapWidth val="75"/>
        <c:axId val="128262528"/>
        <c:axId val="128264064"/>
      </c:barChart>
      <c:catAx>
        <c:axId val="128262528"/>
        <c:scaling>
          <c:orientation val="minMax"/>
        </c:scaling>
        <c:delete val="0"/>
        <c:axPos val="b"/>
        <c:majorTickMark val="none"/>
        <c:minorTickMark val="none"/>
        <c:tickLblPos val="nextTo"/>
        <c:crossAx val="128264064"/>
        <c:crosses val="autoZero"/>
        <c:auto val="1"/>
        <c:lblAlgn val="ctr"/>
        <c:lblOffset val="100"/>
        <c:noMultiLvlLbl val="0"/>
      </c:catAx>
      <c:valAx>
        <c:axId val="128264064"/>
        <c:scaling>
          <c:orientation val="minMax"/>
        </c:scaling>
        <c:delete val="0"/>
        <c:axPos val="l"/>
        <c:majorGridlines/>
        <c:title>
          <c:tx>
            <c:rich>
              <a:bodyPr rot="-5400000" vert="horz"/>
              <a:lstStyle/>
              <a:p>
                <a:pPr>
                  <a:defRPr/>
                </a:pPr>
                <a:r>
                  <a:rPr lang="en-US"/>
                  <a:t>mg/L</a:t>
                </a:r>
              </a:p>
            </c:rich>
          </c:tx>
          <c:overlay val="0"/>
        </c:title>
        <c:numFmt formatCode="0.0" sourceLinked="0"/>
        <c:majorTickMark val="none"/>
        <c:minorTickMark val="none"/>
        <c:tickLblPos val="nextTo"/>
        <c:spPr>
          <a:ln w="9525">
            <a:noFill/>
          </a:ln>
        </c:spPr>
        <c:crossAx val="128262528"/>
        <c:crosses val="autoZero"/>
        <c:crossBetween val="between"/>
      </c:valAx>
    </c:plotArea>
    <c:legend>
      <c:legendPos val="b"/>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0.11148</cdr:x>
      <cdr:y>0.76399</cdr:y>
    </cdr:from>
    <cdr:to>
      <cdr:x>0.9817</cdr:x>
      <cdr:y>0.77129</cdr:y>
    </cdr:to>
    <cdr:cxnSp macro="">
      <cdr:nvCxnSpPr>
        <cdr:cNvPr id="3" name="Straight Connector 2"/>
        <cdr:cNvCxnSpPr/>
      </cdr:nvCxnSpPr>
      <cdr:spPr>
        <a:xfrm xmlns:a="http://schemas.openxmlformats.org/drawingml/2006/main">
          <a:off x="638175" y="2990851"/>
          <a:ext cx="4981575" cy="28575"/>
        </a:xfrm>
        <a:prstGeom xmlns:a="http://schemas.openxmlformats.org/drawingml/2006/main" prst="line">
          <a:avLst/>
        </a:prstGeom>
        <a:ln xmlns:a="http://schemas.openxmlformats.org/drawingml/2006/main" w="1270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344-32EB-4922-ACF9-FD856EECC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Susan M</dc:creator>
  <cp:lastModifiedBy>Larson, Susan M</cp:lastModifiedBy>
  <cp:revision>6</cp:revision>
  <dcterms:created xsi:type="dcterms:W3CDTF">2012-12-06T16:33:00Z</dcterms:created>
  <dcterms:modified xsi:type="dcterms:W3CDTF">2012-12-11T16:03:00Z</dcterms:modified>
</cp:coreProperties>
</file>