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75A" w:rsidRDefault="006A175A" w:rsidP="006A175A">
      <w:r w:rsidRPr="00B55289">
        <w:rPr>
          <w:b/>
          <w:i/>
        </w:rPr>
        <w:t>Project Title:</w:t>
      </w:r>
      <w:r>
        <w:rPr>
          <w:b/>
          <w:i/>
        </w:rPr>
        <w:t xml:space="preserve"> </w:t>
      </w:r>
      <w:r w:rsidR="00460D82" w:rsidRPr="00EC63EE">
        <w:t xml:space="preserve">Milwaukee Estuary Area of Concern Fish Population </w:t>
      </w:r>
      <w:r w:rsidR="00671612" w:rsidRPr="00EC63EE">
        <w:t>Target Refinement</w:t>
      </w:r>
    </w:p>
    <w:p w:rsidR="00EC63EE" w:rsidRDefault="00EC63EE" w:rsidP="006A175A"/>
    <w:p w:rsidR="00EC63EE" w:rsidRPr="00AD4FB8" w:rsidRDefault="00AD4FB8" w:rsidP="006A175A">
      <w:r>
        <w:rPr>
          <w:b/>
          <w:i/>
        </w:rPr>
        <w:t>Project Applicant</w:t>
      </w:r>
      <w:r>
        <w:t>: United States Geological Survey</w:t>
      </w:r>
    </w:p>
    <w:p w:rsidR="00EC63EE" w:rsidRPr="00EC63EE" w:rsidRDefault="00EC63EE" w:rsidP="006A175A">
      <w:pPr>
        <w:rPr>
          <w:b/>
          <w:i/>
        </w:rPr>
      </w:pPr>
    </w:p>
    <w:p w:rsidR="00B26399" w:rsidRDefault="00EC63EE" w:rsidP="006A175A">
      <w:pPr>
        <w:rPr>
          <w:color w:val="000000"/>
        </w:rPr>
      </w:pPr>
      <w:r w:rsidRPr="00EC63EE">
        <w:rPr>
          <w:b/>
          <w:i/>
        </w:rPr>
        <w:t>Contact Person</w:t>
      </w:r>
      <w:r>
        <w:t xml:space="preserve">: Daniel Sullivan, United States Geological </w:t>
      </w:r>
      <w:r w:rsidRPr="00EC63EE">
        <w:t>Survey,</w:t>
      </w:r>
      <w:r>
        <w:rPr>
          <w:color w:val="000000"/>
        </w:rPr>
        <w:t xml:space="preserve"> Wisconsin Water Science </w:t>
      </w:r>
    </w:p>
    <w:p w:rsidR="00EC63EE" w:rsidRPr="00EC63EE" w:rsidRDefault="00EC63EE" w:rsidP="00B26399">
      <w:pPr>
        <w:ind w:firstLine="720"/>
      </w:pPr>
      <w:r>
        <w:rPr>
          <w:color w:val="000000"/>
        </w:rPr>
        <w:t xml:space="preserve">Center, 8505 Research Way, </w:t>
      </w:r>
      <w:r w:rsidRPr="00EC63EE">
        <w:rPr>
          <w:color w:val="000000"/>
        </w:rPr>
        <w:t>Middleton, WI USA 53562</w:t>
      </w:r>
      <w:r>
        <w:rPr>
          <w:color w:val="000000"/>
        </w:rPr>
        <w:t xml:space="preserve">, </w:t>
      </w:r>
      <w:r>
        <w:t>608-</w:t>
      </w:r>
      <w:r w:rsidRPr="00EC63EE">
        <w:t>821-3869</w:t>
      </w:r>
      <w:r>
        <w:t>, djsulliv@usgs.gov</w:t>
      </w:r>
    </w:p>
    <w:p w:rsidR="006A175A" w:rsidRDefault="006A175A" w:rsidP="006A175A">
      <w:pPr>
        <w:rPr>
          <w:b/>
          <w:i/>
        </w:rPr>
      </w:pPr>
    </w:p>
    <w:p w:rsidR="00B26399" w:rsidRDefault="006A175A" w:rsidP="00B26399">
      <w:r>
        <w:rPr>
          <w:b/>
          <w:i/>
        </w:rPr>
        <w:t>Project Location:</w:t>
      </w:r>
      <w:r w:rsidR="00EC63EE">
        <w:t xml:space="preserve"> </w:t>
      </w:r>
      <w:r w:rsidR="00460D82">
        <w:t xml:space="preserve">Milwaukee Harbor, Milwaukee River, Kinnickinnic River, and the Menomonee </w:t>
      </w:r>
    </w:p>
    <w:p w:rsidR="006A175A" w:rsidRDefault="00460D82" w:rsidP="00B26399">
      <w:pPr>
        <w:ind w:firstLine="720"/>
      </w:pPr>
      <w:r>
        <w:t>River.</w:t>
      </w:r>
    </w:p>
    <w:p w:rsidR="006A175A" w:rsidRDefault="006A175A" w:rsidP="006A175A">
      <w:pPr>
        <w:rPr>
          <w:b/>
          <w:i/>
        </w:rPr>
      </w:pPr>
    </w:p>
    <w:p w:rsidR="00BB6CCC" w:rsidRDefault="006A175A" w:rsidP="0028743F">
      <w:r w:rsidRPr="00B55289">
        <w:rPr>
          <w:b/>
          <w:i/>
        </w:rPr>
        <w:t xml:space="preserve">Problem Statement: </w:t>
      </w:r>
      <w:r>
        <w:t xml:space="preserve"> </w:t>
      </w:r>
    </w:p>
    <w:p w:rsidR="006120A3" w:rsidRDefault="006120A3" w:rsidP="0028743F"/>
    <w:p w:rsidR="009A05D4" w:rsidRPr="00BA0F22" w:rsidRDefault="009A05D4" w:rsidP="008210BD">
      <w:pPr>
        <w:ind w:left="720"/>
      </w:pPr>
      <w:r>
        <w:t>Relevance</w:t>
      </w:r>
      <w:r w:rsidR="00460D82">
        <w:t xml:space="preserve">: </w:t>
      </w:r>
      <w:r w:rsidR="00C13453">
        <w:t>The Milwaukee Estuary Are</w:t>
      </w:r>
      <w:r w:rsidR="0066698C">
        <w:t xml:space="preserve">a of Concern Beneficial Use Impairment “Degraded Fish and Wildlife Populations” was identified by the International Joint Commission in </w:t>
      </w:r>
      <w:r w:rsidR="00BA4C28">
        <w:t xml:space="preserve">1987.  A comprehensive survey of relative population abundance of native </w:t>
      </w:r>
      <w:r w:rsidR="00227086">
        <w:t xml:space="preserve">fish </w:t>
      </w:r>
      <w:r w:rsidR="00BA4C28">
        <w:t xml:space="preserve">species </w:t>
      </w:r>
      <w:r w:rsidR="007A7085">
        <w:t>scheduled for 2014 will provide the opportunity</w:t>
      </w:r>
      <w:r w:rsidR="00BA4C28">
        <w:t xml:space="preserve"> to </w:t>
      </w:r>
      <w:r w:rsidR="00227086">
        <w:t xml:space="preserve">compare </w:t>
      </w:r>
      <w:r w:rsidR="007A7085">
        <w:t>abundances prior to 1987 and will</w:t>
      </w:r>
      <w:r w:rsidR="00BA4C28">
        <w:t xml:space="preserve"> provide an understanding of the degree of improvement in fish populations.</w:t>
      </w:r>
      <w:r w:rsidR="00BF5870">
        <w:t xml:space="preserve"> </w:t>
      </w:r>
      <w:r w:rsidR="009C5109" w:rsidRPr="00BA0F22">
        <w:t>Ideally, an increase of all native fish populations would be evident.  However, declines (or even increases) in the populations of some native fish species may be due to conditions external to the AOC.  Therefore, identification of native fish species most indicative of improvements in the AOC will be advantageous</w:t>
      </w:r>
      <w:r w:rsidR="00671612">
        <w:t xml:space="preserve"> and will allow fish population targets to be focused on those species most directly impacted by AOC activities rather than general conditions in Lake Michigan</w:t>
      </w:r>
      <w:r w:rsidR="009C5109" w:rsidRPr="00BA0F22">
        <w:t xml:space="preserve">.  </w:t>
      </w:r>
    </w:p>
    <w:p w:rsidR="00E436D3" w:rsidRDefault="00E436D3" w:rsidP="00EC63EE"/>
    <w:p w:rsidR="003257F7" w:rsidRDefault="00E436D3" w:rsidP="00EC63EE">
      <w:pPr>
        <w:ind w:left="720"/>
      </w:pPr>
      <w:r w:rsidRPr="00227086">
        <w:t>For the purposes of removal of this beneficial use impairment</w:t>
      </w:r>
      <w:r w:rsidR="00BA0F22" w:rsidRPr="00227086">
        <w:t>,</w:t>
      </w:r>
      <w:r w:rsidR="007A7085" w:rsidRPr="00227086">
        <w:t xml:space="preserve"> </w:t>
      </w:r>
      <w:r w:rsidRPr="00227086">
        <w:t xml:space="preserve">specific native indicator species will include northern pike, greater redhorse, lake sturgeon, and walleye.  </w:t>
      </w:r>
      <w:r>
        <w:t>Although these four species are thought to be broadly representative of fish of life histories and m</w:t>
      </w:r>
      <w:r w:rsidR="00FE44FA">
        <w:t>orphometry of various fish speci</w:t>
      </w:r>
      <w:r>
        <w:t xml:space="preserve">es, the direct correlation of their population success to those of other fish populations is not defined.  </w:t>
      </w:r>
      <w:r w:rsidR="007A7085" w:rsidRPr="00227086">
        <w:t>In 2013</w:t>
      </w:r>
      <w:r w:rsidR="00FC7A8F">
        <w:t>, we will</w:t>
      </w:r>
      <w:r w:rsidR="003257F7" w:rsidRPr="00227086">
        <w:t xml:space="preserve"> evaluate the list of originally captured native fish species to refine the list of species and acceptable increases in relatively density based on life history, ecology, and utilization of the AOC proper.  </w:t>
      </w:r>
      <w:r w:rsidR="009C5109" w:rsidRPr="00227086">
        <w:t xml:space="preserve">Likely mechanisms of population level increases or decreases external to the AOC will be documented.  </w:t>
      </w:r>
      <w:r w:rsidR="003257F7" w:rsidRPr="00227086">
        <w:t>The results of this evaluation will likely result in a less conservative but more precise targets with regard to species and relative densities.</w:t>
      </w:r>
      <w:r w:rsidR="00A07ABC">
        <w:t xml:space="preserve">  </w:t>
      </w:r>
    </w:p>
    <w:p w:rsidR="003257F7" w:rsidRDefault="003257F7" w:rsidP="00E436D3">
      <w:pPr>
        <w:ind w:left="720"/>
      </w:pPr>
    </w:p>
    <w:p w:rsidR="006E130C" w:rsidRPr="007A7085" w:rsidRDefault="00E436D3" w:rsidP="00EC63EE">
      <w:pPr>
        <w:ind w:left="720"/>
      </w:pPr>
      <w:r>
        <w:t xml:space="preserve">While these two measures (focal species and all native species) provide an opportunity to examine relative population density in a temporal context, a spatial comparison to reference site is also necessary.  </w:t>
      </w:r>
      <w:r w:rsidRPr="00227086">
        <w:t>To compare the Milwaukee AOC fish populations of native indicator species to reference sites we will rely on large river IBI scores</w:t>
      </w:r>
      <w:r w:rsidR="007A7085" w:rsidRPr="00227086">
        <w:t xml:space="preserve"> collected in the sampling effort to commence in 2014</w:t>
      </w:r>
      <w:r w:rsidRPr="00227086">
        <w:t xml:space="preserve">.  </w:t>
      </w:r>
      <w:r w:rsidR="006E130C" w:rsidRPr="007A7085">
        <w:t xml:space="preserve">The methodology </w:t>
      </w:r>
      <w:r w:rsidR="00EC63EE">
        <w:t xml:space="preserve">in the proposed 2014 effort </w:t>
      </w:r>
      <w:r w:rsidR="006E130C" w:rsidRPr="007A7085">
        <w:t xml:space="preserve">above focuses on the relative abundance of fish populations within the estuary area of the Milwaukee River AOC.  </w:t>
      </w:r>
      <w:r w:rsidR="00F42D70" w:rsidRPr="007A7085">
        <w:t>The</w:t>
      </w:r>
      <w:r w:rsidR="00FC7A8F">
        <w:t>refore, the</w:t>
      </w:r>
      <w:r w:rsidR="00F42D70" w:rsidRPr="007A7085">
        <w:t xml:space="preserve"> status of fish population</w:t>
      </w:r>
      <w:r w:rsidR="00FC7A8F">
        <w:t>s</w:t>
      </w:r>
      <w:r w:rsidR="00360BF4" w:rsidRPr="007A7085">
        <w:t xml:space="preserve"> within the expanded AOC boundary are not necessarily refle</w:t>
      </w:r>
      <w:r w:rsidR="00FC7A8F">
        <w:t>cted</w:t>
      </w:r>
      <w:r w:rsidR="00360BF4" w:rsidRPr="007A7085">
        <w:t>.  Fish populations are expected to</w:t>
      </w:r>
      <w:r w:rsidR="00F42D70" w:rsidRPr="007A7085">
        <w:t xml:space="preserve"> be considerably more robust </w:t>
      </w:r>
      <w:r w:rsidR="00360BF4" w:rsidRPr="007A7085">
        <w:t xml:space="preserve">within the expanded AOC boundary.  However, to ensure that this circumstance is supported, we propose a review of existing fish population data for fish based IBI scores within the expanded AOC as part of the individual species evaluation.  We will consider a mean value of “Fair” from at least 5 appropriate IBI scores that occur in at least 3 separate years to be evidence that fish populations are not substantially impaired within the expanded AOC </w:t>
      </w:r>
      <w:r w:rsidR="00360BF4" w:rsidRPr="007A7085">
        <w:lastRenderedPageBreak/>
        <w:t xml:space="preserve">boundary.   </w:t>
      </w:r>
      <w:r w:rsidR="00027185" w:rsidRPr="007A7085">
        <w:t>If insufficient data are available, additional sampling may be required.</w:t>
      </w:r>
      <w:r w:rsidR="007A7085" w:rsidRPr="007A7085">
        <w:t xml:space="preserve"> Work proposed here will identify and summarize existing relevant IBI data</w:t>
      </w:r>
      <w:r w:rsidR="00CD192F">
        <w:t xml:space="preserve"> in the area of the expanded AOC boundary</w:t>
      </w:r>
      <w:r w:rsidR="007A7085" w:rsidRPr="007A7085">
        <w:t>, identify future data needs if present, and suggest sampling design for obtaining additional data if necessary.</w:t>
      </w:r>
    </w:p>
    <w:p w:rsidR="009A05D4" w:rsidRDefault="009A05D4" w:rsidP="009A05D4"/>
    <w:p w:rsidR="00FC7A8F" w:rsidRDefault="006120A3" w:rsidP="00F82283">
      <w:pPr>
        <w:rPr>
          <w:b/>
          <w:i/>
        </w:rPr>
      </w:pPr>
      <w:r w:rsidRPr="006120A3">
        <w:rPr>
          <w:b/>
          <w:i/>
        </w:rPr>
        <w:t xml:space="preserve">Proposed Work:  </w:t>
      </w:r>
    </w:p>
    <w:p w:rsidR="00FC7A8F" w:rsidRDefault="00FC7A8F" w:rsidP="00F82283"/>
    <w:p w:rsidR="00FC7A8F" w:rsidRDefault="005A4D95" w:rsidP="00B26399">
      <w:pPr>
        <w:ind w:left="720"/>
      </w:pPr>
      <w:r>
        <w:t xml:space="preserve">1) </w:t>
      </w:r>
      <w:r w:rsidR="004123F4">
        <w:t>Create an electronic database</w:t>
      </w:r>
      <w:r w:rsidR="00C53B5F">
        <w:t>, in format compatible with WDNR SWIMS database (e.g. ACCESS or EXCEL)</w:t>
      </w:r>
      <w:r w:rsidR="0047524C">
        <w:t>,</w:t>
      </w:r>
      <w:r w:rsidR="00E12CE2">
        <w:t xml:space="preserve"> of Holey (1986) summary</w:t>
      </w:r>
      <w:r w:rsidR="004123F4">
        <w:t xml:space="preserve"> data and p</w:t>
      </w:r>
      <w:r>
        <w:t>rovide a</w:t>
      </w:r>
      <w:r w:rsidR="009345DF" w:rsidRPr="00FC7A8F">
        <w:t xml:space="preserve"> review of relative </w:t>
      </w:r>
      <w:r w:rsidR="009345DF" w:rsidRPr="005A4D95">
        <w:t>population status</w:t>
      </w:r>
      <w:r w:rsidR="009345DF">
        <w:rPr>
          <w:b/>
          <w:i/>
        </w:rPr>
        <w:t xml:space="preserve"> </w:t>
      </w:r>
      <w:r w:rsidR="009345DF">
        <w:t xml:space="preserve">of </w:t>
      </w:r>
      <w:r w:rsidR="00E12CE2">
        <w:t>all native fish species captured in the Holey 1986 survey</w:t>
      </w:r>
      <w:r w:rsidR="00227086">
        <w:t xml:space="preserve"> with respect to life history, ecology, and utilization of the </w:t>
      </w:r>
      <w:r w:rsidR="004123F4">
        <w:t>AOC</w:t>
      </w:r>
      <w:r w:rsidR="004955F6">
        <w:t>.</w:t>
      </w:r>
    </w:p>
    <w:p w:rsidR="00FC7A8F" w:rsidRDefault="00FC7A8F" w:rsidP="00F82283"/>
    <w:p w:rsidR="00F82283" w:rsidRDefault="009345DF" w:rsidP="00B26399">
      <w:pPr>
        <w:ind w:left="720"/>
      </w:pPr>
      <w:r>
        <w:t xml:space="preserve">2) </w:t>
      </w:r>
      <w:r w:rsidR="005A4D95">
        <w:t>I</w:t>
      </w:r>
      <w:r w:rsidR="00227086" w:rsidRPr="00227086">
        <w:t>dentify and summarize existing relevant IBI data</w:t>
      </w:r>
      <w:r w:rsidR="00CD192F">
        <w:t xml:space="preserve"> within the expanded AOC area</w:t>
      </w:r>
      <w:r w:rsidR="00227086" w:rsidRPr="00227086">
        <w:t>, identify future data needs if present, and suggest sampling design for obtaining additional data if necessary.</w:t>
      </w:r>
    </w:p>
    <w:p w:rsidR="00FC7A8F" w:rsidRDefault="00FC7A8F" w:rsidP="00F82283"/>
    <w:p w:rsidR="00FC7A8F" w:rsidRDefault="005A4D95" w:rsidP="00B26399">
      <w:pPr>
        <w:ind w:left="720"/>
      </w:pPr>
      <w:r>
        <w:t>3) Provide summ</w:t>
      </w:r>
      <w:r w:rsidR="00E12CE2">
        <w:t>ary information in the form of interim and</w:t>
      </w:r>
      <w:r>
        <w:t xml:space="preserve"> final report</w:t>
      </w:r>
      <w:r w:rsidR="00E12CE2">
        <w:t>s</w:t>
      </w:r>
      <w:r>
        <w:t xml:space="preserve"> and present findings to the Milwaukee AOC Stakeholder Input Group, the Milwaukee Technical Advisory Committee, and Wisconsin DNR staff. </w:t>
      </w:r>
    </w:p>
    <w:p w:rsidR="00BB6CCC" w:rsidRDefault="00BB6CCC" w:rsidP="006A175A">
      <w:pPr>
        <w:rPr>
          <w:b/>
          <w:i/>
        </w:rPr>
      </w:pPr>
    </w:p>
    <w:p w:rsidR="00B26399" w:rsidRDefault="006A175A" w:rsidP="00B26399">
      <w:r>
        <w:rPr>
          <w:b/>
          <w:i/>
        </w:rPr>
        <w:t xml:space="preserve">Collaboration with partners:  </w:t>
      </w:r>
      <w:r w:rsidR="009133D4" w:rsidRPr="009133D4">
        <w:t xml:space="preserve">This proposal </w:t>
      </w:r>
      <w:r w:rsidR="009133D4">
        <w:t xml:space="preserve">was developed with input from the Milwaukee Estuary </w:t>
      </w:r>
    </w:p>
    <w:p w:rsidR="006A175A" w:rsidRPr="006120A3" w:rsidRDefault="009133D4" w:rsidP="00B26399">
      <w:pPr>
        <w:ind w:left="720"/>
      </w:pPr>
      <w:r>
        <w:t>Fish and Wildlife Technical Team, which includes representatives from a variety of state, local, and federal agencies and nonprofit organizations</w:t>
      </w:r>
      <w:r w:rsidR="0012696A" w:rsidRPr="00653E12">
        <w:t>.</w:t>
      </w:r>
      <w:r>
        <w:t xml:space="preserve"> </w:t>
      </w:r>
      <w:r w:rsidRPr="00671612">
        <w:t xml:space="preserve">The Technical Team has endorsed this </w:t>
      </w:r>
      <w:r w:rsidR="00C748D4" w:rsidRPr="00671612">
        <w:t>proposal</w:t>
      </w:r>
      <w:r w:rsidRPr="00671612">
        <w:t xml:space="preserve"> and the provisions therein.</w:t>
      </w:r>
      <w:r w:rsidR="0012696A">
        <w:rPr>
          <w:b/>
          <w:i/>
        </w:rPr>
        <w:t xml:space="preserve">  </w:t>
      </w:r>
    </w:p>
    <w:p w:rsidR="006A175A" w:rsidRDefault="006A175A" w:rsidP="006A175A"/>
    <w:p w:rsidR="005A4D95" w:rsidRDefault="006A175A" w:rsidP="00B030A4">
      <w:r w:rsidRPr="00DF0427">
        <w:rPr>
          <w:b/>
          <w:i/>
        </w:rPr>
        <w:t>Deliverables</w:t>
      </w:r>
      <w:r w:rsidR="00E809B1">
        <w:rPr>
          <w:b/>
          <w:i/>
        </w:rPr>
        <w:t xml:space="preserve"> and Timetabl</w:t>
      </w:r>
      <w:r w:rsidR="00B030A4">
        <w:rPr>
          <w:b/>
          <w:i/>
        </w:rPr>
        <w:t>e</w:t>
      </w:r>
      <w:r w:rsidR="00671612">
        <w:rPr>
          <w:b/>
          <w:i/>
        </w:rPr>
        <w:t>:</w:t>
      </w:r>
      <w:r w:rsidR="00671612" w:rsidRPr="00671612">
        <w:t xml:space="preserve"> </w:t>
      </w:r>
    </w:p>
    <w:tbl>
      <w:tblPr>
        <w:tblW w:w="8580" w:type="dxa"/>
        <w:tblInd w:w="93" w:type="dxa"/>
        <w:tblLook w:val="04A0" w:firstRow="1" w:lastRow="0" w:firstColumn="1" w:lastColumn="0" w:noHBand="0" w:noVBand="1"/>
      </w:tblPr>
      <w:tblGrid>
        <w:gridCol w:w="2400"/>
        <w:gridCol w:w="6180"/>
      </w:tblGrid>
      <w:tr w:rsidR="00B61E65" w:rsidTr="00B61E65">
        <w:trPr>
          <w:trHeight w:val="300"/>
        </w:trPr>
        <w:tc>
          <w:tcPr>
            <w:tcW w:w="2400" w:type="dxa"/>
            <w:tcBorders>
              <w:top w:val="single" w:sz="4" w:space="0" w:color="auto"/>
              <w:left w:val="nil"/>
              <w:bottom w:val="single" w:sz="4" w:space="0" w:color="auto"/>
              <w:right w:val="nil"/>
            </w:tcBorders>
            <w:shd w:val="clear" w:color="auto" w:fill="auto"/>
            <w:noWrap/>
            <w:vAlign w:val="bottom"/>
            <w:hideMark/>
          </w:tcPr>
          <w:p w:rsidR="00B61E65" w:rsidRDefault="00B61E65">
            <w:pPr>
              <w:rPr>
                <w:rFonts w:ascii="Calibri" w:hAnsi="Calibri" w:cs="Calibri"/>
                <w:color w:val="000000"/>
                <w:sz w:val="22"/>
                <w:szCs w:val="22"/>
              </w:rPr>
            </w:pPr>
            <w:r>
              <w:rPr>
                <w:rFonts w:ascii="Calibri" w:hAnsi="Calibri" w:cs="Calibri"/>
                <w:color w:val="000000"/>
                <w:sz w:val="22"/>
                <w:szCs w:val="22"/>
              </w:rPr>
              <w:t>Timeframe</w:t>
            </w:r>
          </w:p>
        </w:tc>
        <w:tc>
          <w:tcPr>
            <w:tcW w:w="6180" w:type="dxa"/>
            <w:tcBorders>
              <w:top w:val="single" w:sz="4" w:space="0" w:color="auto"/>
              <w:left w:val="nil"/>
              <w:bottom w:val="single" w:sz="4" w:space="0" w:color="auto"/>
              <w:right w:val="nil"/>
            </w:tcBorders>
            <w:shd w:val="clear" w:color="auto" w:fill="auto"/>
            <w:noWrap/>
            <w:hideMark/>
          </w:tcPr>
          <w:p w:rsidR="00B61E65" w:rsidRDefault="00B61E65">
            <w:pPr>
              <w:rPr>
                <w:rFonts w:ascii="Calibri" w:hAnsi="Calibri" w:cs="Calibri"/>
                <w:color w:val="000000"/>
                <w:sz w:val="22"/>
                <w:szCs w:val="22"/>
              </w:rPr>
            </w:pPr>
            <w:r>
              <w:rPr>
                <w:rFonts w:ascii="Calibri" w:hAnsi="Calibri" w:cs="Calibri"/>
                <w:color w:val="000000"/>
                <w:sz w:val="22"/>
                <w:szCs w:val="22"/>
              </w:rPr>
              <w:t>Task</w:t>
            </w:r>
          </w:p>
        </w:tc>
      </w:tr>
      <w:tr w:rsidR="00B61E65" w:rsidTr="00B61E65">
        <w:trPr>
          <w:trHeight w:val="300"/>
        </w:trPr>
        <w:tc>
          <w:tcPr>
            <w:tcW w:w="2400" w:type="dxa"/>
            <w:tcBorders>
              <w:top w:val="nil"/>
              <w:left w:val="nil"/>
              <w:bottom w:val="nil"/>
              <w:right w:val="nil"/>
            </w:tcBorders>
            <w:shd w:val="clear" w:color="auto" w:fill="auto"/>
            <w:hideMark/>
          </w:tcPr>
          <w:p w:rsidR="00B61E65" w:rsidRDefault="00F67E7E">
            <w:pPr>
              <w:rPr>
                <w:rFonts w:ascii="Calibri" w:hAnsi="Calibri" w:cs="Calibri"/>
                <w:color w:val="000000"/>
                <w:sz w:val="22"/>
                <w:szCs w:val="22"/>
              </w:rPr>
            </w:pPr>
            <w:r>
              <w:rPr>
                <w:rFonts w:ascii="Calibri" w:hAnsi="Calibri" w:cs="Calibri"/>
                <w:color w:val="000000"/>
                <w:sz w:val="22"/>
                <w:szCs w:val="22"/>
              </w:rPr>
              <w:t>October</w:t>
            </w:r>
            <w:r w:rsidR="00B61E65">
              <w:rPr>
                <w:rFonts w:ascii="Calibri" w:hAnsi="Calibri" w:cs="Calibri"/>
                <w:color w:val="000000"/>
                <w:sz w:val="22"/>
                <w:szCs w:val="22"/>
              </w:rPr>
              <w:t xml:space="preserve"> 2013</w:t>
            </w:r>
          </w:p>
        </w:tc>
        <w:tc>
          <w:tcPr>
            <w:tcW w:w="6180" w:type="dxa"/>
            <w:tcBorders>
              <w:top w:val="nil"/>
              <w:left w:val="nil"/>
              <w:bottom w:val="nil"/>
              <w:right w:val="nil"/>
            </w:tcBorders>
            <w:shd w:val="clear" w:color="auto" w:fill="auto"/>
            <w:hideMark/>
          </w:tcPr>
          <w:p w:rsidR="00B61E65" w:rsidRDefault="00B61E65">
            <w:pPr>
              <w:rPr>
                <w:rFonts w:ascii="Calibri" w:hAnsi="Calibri" w:cs="Calibri"/>
                <w:color w:val="000000"/>
                <w:sz w:val="22"/>
                <w:szCs w:val="22"/>
              </w:rPr>
            </w:pPr>
            <w:r>
              <w:rPr>
                <w:rFonts w:ascii="Calibri" w:hAnsi="Calibri" w:cs="Calibri"/>
                <w:color w:val="000000"/>
                <w:sz w:val="22"/>
                <w:szCs w:val="22"/>
              </w:rPr>
              <w:t>-Development of the Quality Assurance Project Plan</w:t>
            </w:r>
          </w:p>
        </w:tc>
      </w:tr>
      <w:tr w:rsidR="00B61E65" w:rsidTr="00B61E65">
        <w:trPr>
          <w:trHeight w:val="300"/>
        </w:trPr>
        <w:tc>
          <w:tcPr>
            <w:tcW w:w="2400" w:type="dxa"/>
            <w:tcBorders>
              <w:top w:val="nil"/>
              <w:left w:val="nil"/>
              <w:bottom w:val="nil"/>
              <w:right w:val="nil"/>
            </w:tcBorders>
            <w:shd w:val="clear" w:color="auto" w:fill="auto"/>
            <w:hideMark/>
          </w:tcPr>
          <w:p w:rsidR="00B61E65" w:rsidRDefault="00B61E65">
            <w:pPr>
              <w:rPr>
                <w:rFonts w:ascii="Calibri" w:hAnsi="Calibri" w:cs="Calibri"/>
                <w:color w:val="000000"/>
                <w:sz w:val="22"/>
                <w:szCs w:val="22"/>
              </w:rPr>
            </w:pPr>
          </w:p>
        </w:tc>
        <w:tc>
          <w:tcPr>
            <w:tcW w:w="6180" w:type="dxa"/>
            <w:tcBorders>
              <w:top w:val="nil"/>
              <w:left w:val="nil"/>
              <w:bottom w:val="nil"/>
              <w:right w:val="nil"/>
            </w:tcBorders>
            <w:shd w:val="clear" w:color="auto" w:fill="auto"/>
            <w:hideMark/>
          </w:tcPr>
          <w:p w:rsidR="00B61E65" w:rsidRDefault="00B61E65">
            <w:pPr>
              <w:rPr>
                <w:rFonts w:ascii="Calibri" w:hAnsi="Calibri" w:cs="Calibri"/>
                <w:color w:val="000000"/>
                <w:sz w:val="22"/>
                <w:szCs w:val="22"/>
              </w:rPr>
            </w:pPr>
            <w:r>
              <w:rPr>
                <w:rFonts w:ascii="Calibri" w:hAnsi="Calibri" w:cs="Calibri"/>
                <w:color w:val="000000"/>
                <w:sz w:val="22"/>
                <w:szCs w:val="22"/>
              </w:rPr>
              <w:t>-Enter Holey (1986) summary data into database format</w:t>
            </w:r>
          </w:p>
        </w:tc>
      </w:tr>
      <w:tr w:rsidR="00B61E65" w:rsidTr="00B61E65">
        <w:trPr>
          <w:trHeight w:val="300"/>
        </w:trPr>
        <w:tc>
          <w:tcPr>
            <w:tcW w:w="2400" w:type="dxa"/>
            <w:tcBorders>
              <w:top w:val="nil"/>
              <w:left w:val="nil"/>
              <w:bottom w:val="nil"/>
              <w:right w:val="nil"/>
            </w:tcBorders>
            <w:shd w:val="clear" w:color="auto" w:fill="auto"/>
            <w:hideMark/>
          </w:tcPr>
          <w:p w:rsidR="00B61E65" w:rsidRDefault="00B61E65">
            <w:pPr>
              <w:rPr>
                <w:rFonts w:ascii="Calibri" w:hAnsi="Calibri" w:cs="Calibri"/>
                <w:color w:val="000000"/>
                <w:sz w:val="22"/>
                <w:szCs w:val="22"/>
              </w:rPr>
            </w:pPr>
          </w:p>
        </w:tc>
        <w:tc>
          <w:tcPr>
            <w:tcW w:w="6180" w:type="dxa"/>
            <w:tcBorders>
              <w:top w:val="nil"/>
              <w:left w:val="nil"/>
              <w:bottom w:val="nil"/>
              <w:right w:val="nil"/>
            </w:tcBorders>
            <w:shd w:val="clear" w:color="auto" w:fill="auto"/>
            <w:hideMark/>
          </w:tcPr>
          <w:p w:rsidR="00B61E65" w:rsidRDefault="00B61E65">
            <w:pPr>
              <w:rPr>
                <w:rFonts w:ascii="Calibri" w:hAnsi="Calibri" w:cs="Calibri"/>
                <w:color w:val="000000"/>
                <w:sz w:val="22"/>
                <w:szCs w:val="22"/>
              </w:rPr>
            </w:pPr>
            <w:r>
              <w:rPr>
                <w:rFonts w:ascii="Calibri" w:hAnsi="Calibri" w:cs="Calibri"/>
                <w:color w:val="000000"/>
                <w:sz w:val="22"/>
                <w:szCs w:val="22"/>
              </w:rPr>
              <w:t>-Submission of Holey (1986) database to WDNR</w:t>
            </w:r>
          </w:p>
        </w:tc>
      </w:tr>
      <w:tr w:rsidR="00B61E65" w:rsidTr="00B61E65">
        <w:trPr>
          <w:trHeight w:val="675"/>
        </w:trPr>
        <w:tc>
          <w:tcPr>
            <w:tcW w:w="2400" w:type="dxa"/>
            <w:tcBorders>
              <w:top w:val="nil"/>
              <w:left w:val="nil"/>
              <w:bottom w:val="nil"/>
              <w:right w:val="nil"/>
            </w:tcBorders>
            <w:shd w:val="clear" w:color="auto" w:fill="auto"/>
            <w:hideMark/>
          </w:tcPr>
          <w:p w:rsidR="00B61E65" w:rsidRDefault="00F67E7E">
            <w:pPr>
              <w:rPr>
                <w:rFonts w:ascii="Calibri" w:hAnsi="Calibri" w:cs="Calibri"/>
                <w:color w:val="000000"/>
                <w:sz w:val="22"/>
                <w:szCs w:val="22"/>
              </w:rPr>
            </w:pPr>
            <w:r>
              <w:rPr>
                <w:rFonts w:ascii="Calibri" w:hAnsi="Calibri" w:cs="Calibri"/>
                <w:color w:val="000000"/>
                <w:sz w:val="22"/>
                <w:szCs w:val="22"/>
              </w:rPr>
              <w:t>November 2013-January</w:t>
            </w:r>
            <w:r w:rsidR="00B61E65">
              <w:rPr>
                <w:rFonts w:ascii="Calibri" w:hAnsi="Calibri" w:cs="Calibri"/>
                <w:color w:val="000000"/>
                <w:sz w:val="22"/>
                <w:szCs w:val="22"/>
              </w:rPr>
              <w:t xml:space="preserve"> 201</w:t>
            </w:r>
            <w:r>
              <w:rPr>
                <w:rFonts w:ascii="Calibri" w:hAnsi="Calibri" w:cs="Calibri"/>
                <w:color w:val="000000"/>
                <w:sz w:val="22"/>
                <w:szCs w:val="22"/>
              </w:rPr>
              <w:t>4</w:t>
            </w:r>
          </w:p>
        </w:tc>
        <w:tc>
          <w:tcPr>
            <w:tcW w:w="6180" w:type="dxa"/>
            <w:tcBorders>
              <w:top w:val="nil"/>
              <w:left w:val="nil"/>
              <w:bottom w:val="nil"/>
              <w:right w:val="nil"/>
            </w:tcBorders>
            <w:shd w:val="clear" w:color="auto" w:fill="auto"/>
            <w:hideMark/>
          </w:tcPr>
          <w:p w:rsidR="00B61E65" w:rsidRDefault="00B61E65" w:rsidP="00E12CE2">
            <w:pPr>
              <w:rPr>
                <w:rFonts w:ascii="Calibri" w:hAnsi="Calibri" w:cs="Calibri"/>
                <w:color w:val="000000"/>
                <w:sz w:val="22"/>
                <w:szCs w:val="22"/>
              </w:rPr>
            </w:pPr>
            <w:r>
              <w:rPr>
                <w:rFonts w:ascii="Calibri" w:hAnsi="Calibri" w:cs="Calibri"/>
                <w:color w:val="000000"/>
                <w:sz w:val="22"/>
                <w:szCs w:val="22"/>
              </w:rPr>
              <w:t>-Develop species summaries (life history, ecology, and utilization of Milwa</w:t>
            </w:r>
            <w:r w:rsidR="00E12CE2">
              <w:rPr>
                <w:rFonts w:ascii="Calibri" w:hAnsi="Calibri" w:cs="Calibri"/>
                <w:color w:val="000000"/>
                <w:sz w:val="22"/>
                <w:szCs w:val="22"/>
              </w:rPr>
              <w:t>uk</w:t>
            </w:r>
            <w:r>
              <w:rPr>
                <w:rFonts w:ascii="Calibri" w:hAnsi="Calibri" w:cs="Calibri"/>
                <w:color w:val="000000"/>
                <w:sz w:val="22"/>
                <w:szCs w:val="22"/>
              </w:rPr>
              <w:t>ee AOC) for each native species captued in Holey (1986)</w:t>
            </w:r>
          </w:p>
        </w:tc>
      </w:tr>
      <w:tr w:rsidR="00B61E65" w:rsidTr="00B61E65">
        <w:trPr>
          <w:trHeight w:val="630"/>
        </w:trPr>
        <w:tc>
          <w:tcPr>
            <w:tcW w:w="2400" w:type="dxa"/>
            <w:tcBorders>
              <w:top w:val="nil"/>
              <w:left w:val="nil"/>
              <w:bottom w:val="nil"/>
              <w:right w:val="nil"/>
            </w:tcBorders>
            <w:shd w:val="clear" w:color="auto" w:fill="auto"/>
            <w:hideMark/>
          </w:tcPr>
          <w:p w:rsidR="00B61E65" w:rsidRDefault="00B61E65">
            <w:pPr>
              <w:rPr>
                <w:rFonts w:ascii="Calibri" w:hAnsi="Calibri" w:cs="Calibri"/>
                <w:color w:val="000000"/>
                <w:sz w:val="22"/>
                <w:szCs w:val="22"/>
              </w:rPr>
            </w:pPr>
          </w:p>
        </w:tc>
        <w:tc>
          <w:tcPr>
            <w:tcW w:w="6180" w:type="dxa"/>
            <w:tcBorders>
              <w:top w:val="nil"/>
              <w:left w:val="nil"/>
              <w:bottom w:val="nil"/>
              <w:right w:val="nil"/>
            </w:tcBorders>
            <w:shd w:val="clear" w:color="auto" w:fill="auto"/>
            <w:hideMark/>
          </w:tcPr>
          <w:p w:rsidR="00B61E65" w:rsidRDefault="00B61E65">
            <w:pPr>
              <w:rPr>
                <w:rFonts w:ascii="Calibri" w:hAnsi="Calibri" w:cs="Calibri"/>
                <w:color w:val="000000"/>
                <w:sz w:val="22"/>
                <w:szCs w:val="22"/>
              </w:rPr>
            </w:pPr>
            <w:r>
              <w:rPr>
                <w:rFonts w:ascii="Calibri" w:hAnsi="Calibri" w:cs="Calibri"/>
                <w:color w:val="000000"/>
                <w:sz w:val="22"/>
                <w:szCs w:val="22"/>
              </w:rPr>
              <w:t>-Develop recommendations for species inclusion as target species in Fish Population Beneficial Use Impairment assessment</w:t>
            </w:r>
          </w:p>
        </w:tc>
      </w:tr>
      <w:tr w:rsidR="00B61E65" w:rsidTr="00B61E65">
        <w:trPr>
          <w:trHeight w:val="300"/>
        </w:trPr>
        <w:tc>
          <w:tcPr>
            <w:tcW w:w="2400" w:type="dxa"/>
            <w:tcBorders>
              <w:top w:val="nil"/>
              <w:left w:val="nil"/>
              <w:bottom w:val="nil"/>
              <w:right w:val="nil"/>
            </w:tcBorders>
            <w:shd w:val="clear" w:color="auto" w:fill="auto"/>
            <w:hideMark/>
          </w:tcPr>
          <w:p w:rsidR="00B61E65" w:rsidRDefault="00B61E65">
            <w:pPr>
              <w:rPr>
                <w:rFonts w:ascii="Calibri" w:hAnsi="Calibri" w:cs="Calibri"/>
                <w:color w:val="000000"/>
                <w:sz w:val="22"/>
                <w:szCs w:val="22"/>
              </w:rPr>
            </w:pPr>
          </w:p>
        </w:tc>
        <w:tc>
          <w:tcPr>
            <w:tcW w:w="6180" w:type="dxa"/>
            <w:tcBorders>
              <w:top w:val="nil"/>
              <w:left w:val="nil"/>
              <w:bottom w:val="nil"/>
              <w:right w:val="nil"/>
            </w:tcBorders>
            <w:shd w:val="clear" w:color="auto" w:fill="auto"/>
            <w:hideMark/>
          </w:tcPr>
          <w:p w:rsidR="00B61E65" w:rsidRDefault="00F67E7E">
            <w:pPr>
              <w:rPr>
                <w:rFonts w:ascii="Calibri" w:hAnsi="Calibri" w:cs="Calibri"/>
                <w:color w:val="000000"/>
                <w:sz w:val="22"/>
                <w:szCs w:val="22"/>
              </w:rPr>
            </w:pPr>
            <w:r>
              <w:rPr>
                <w:rFonts w:ascii="Calibri" w:hAnsi="Calibri" w:cs="Calibri"/>
                <w:color w:val="000000"/>
                <w:sz w:val="22"/>
                <w:szCs w:val="22"/>
              </w:rPr>
              <w:t xml:space="preserve">-Quarterly update due November </w:t>
            </w:r>
            <w:r w:rsidR="00B61E65">
              <w:rPr>
                <w:rFonts w:ascii="Calibri" w:hAnsi="Calibri" w:cs="Calibri"/>
                <w:color w:val="000000"/>
                <w:sz w:val="22"/>
                <w:szCs w:val="22"/>
              </w:rPr>
              <w:t>1</w:t>
            </w:r>
            <w:r w:rsidRPr="00F67E7E">
              <w:rPr>
                <w:rFonts w:ascii="Calibri" w:hAnsi="Calibri" w:cs="Calibri"/>
                <w:color w:val="000000"/>
                <w:sz w:val="22"/>
                <w:szCs w:val="22"/>
                <w:vertAlign w:val="superscript"/>
              </w:rPr>
              <w:t>st</w:t>
            </w:r>
            <w:r w:rsidR="00B61E65">
              <w:rPr>
                <w:rFonts w:ascii="Calibri" w:hAnsi="Calibri" w:cs="Calibri"/>
                <w:color w:val="000000"/>
                <w:sz w:val="22"/>
                <w:szCs w:val="22"/>
              </w:rPr>
              <w:t>, 2013</w:t>
            </w:r>
          </w:p>
        </w:tc>
      </w:tr>
      <w:tr w:rsidR="00B61E65" w:rsidTr="00B61E65">
        <w:trPr>
          <w:trHeight w:val="600"/>
        </w:trPr>
        <w:tc>
          <w:tcPr>
            <w:tcW w:w="2400" w:type="dxa"/>
            <w:tcBorders>
              <w:top w:val="nil"/>
              <w:left w:val="nil"/>
              <w:bottom w:val="nil"/>
              <w:right w:val="nil"/>
            </w:tcBorders>
            <w:shd w:val="clear" w:color="auto" w:fill="auto"/>
            <w:hideMark/>
          </w:tcPr>
          <w:p w:rsidR="00B61E65" w:rsidRDefault="00B61E65">
            <w:pPr>
              <w:rPr>
                <w:rFonts w:ascii="Calibri" w:hAnsi="Calibri" w:cs="Calibri"/>
                <w:color w:val="000000"/>
                <w:sz w:val="22"/>
                <w:szCs w:val="22"/>
              </w:rPr>
            </w:pPr>
          </w:p>
        </w:tc>
        <w:tc>
          <w:tcPr>
            <w:tcW w:w="6180" w:type="dxa"/>
            <w:tcBorders>
              <w:top w:val="nil"/>
              <w:left w:val="nil"/>
              <w:bottom w:val="nil"/>
              <w:right w:val="nil"/>
            </w:tcBorders>
            <w:shd w:val="clear" w:color="auto" w:fill="auto"/>
            <w:hideMark/>
          </w:tcPr>
          <w:p w:rsidR="00B61E65" w:rsidRDefault="00B61E65">
            <w:pPr>
              <w:rPr>
                <w:rFonts w:ascii="Calibri" w:hAnsi="Calibri" w:cs="Calibri"/>
                <w:color w:val="000000"/>
                <w:sz w:val="22"/>
                <w:szCs w:val="22"/>
              </w:rPr>
            </w:pPr>
            <w:r>
              <w:rPr>
                <w:rFonts w:ascii="Calibri" w:hAnsi="Calibri" w:cs="Calibri"/>
                <w:color w:val="000000"/>
                <w:sz w:val="22"/>
                <w:szCs w:val="22"/>
              </w:rPr>
              <w:t>-Summary and recommendations shared with AOC Fish and Wildlife Technical Team and WDNR</w:t>
            </w:r>
          </w:p>
        </w:tc>
      </w:tr>
      <w:tr w:rsidR="00B61E65" w:rsidTr="00B61E65">
        <w:trPr>
          <w:trHeight w:val="600"/>
        </w:trPr>
        <w:tc>
          <w:tcPr>
            <w:tcW w:w="2400" w:type="dxa"/>
            <w:tcBorders>
              <w:top w:val="nil"/>
              <w:left w:val="nil"/>
              <w:bottom w:val="nil"/>
              <w:right w:val="nil"/>
            </w:tcBorders>
            <w:shd w:val="clear" w:color="auto" w:fill="auto"/>
            <w:hideMark/>
          </w:tcPr>
          <w:p w:rsidR="00B61E65" w:rsidRDefault="00F67E7E">
            <w:pPr>
              <w:rPr>
                <w:rFonts w:ascii="Calibri" w:hAnsi="Calibri" w:cs="Calibri"/>
                <w:color w:val="000000"/>
                <w:sz w:val="22"/>
                <w:szCs w:val="22"/>
              </w:rPr>
            </w:pPr>
            <w:r>
              <w:rPr>
                <w:rFonts w:ascii="Calibri" w:hAnsi="Calibri" w:cs="Calibri"/>
                <w:color w:val="000000"/>
                <w:sz w:val="22"/>
                <w:szCs w:val="22"/>
              </w:rPr>
              <w:t>February-April</w:t>
            </w:r>
            <w:r w:rsidR="00B61E65">
              <w:rPr>
                <w:rFonts w:ascii="Calibri" w:hAnsi="Calibri" w:cs="Calibri"/>
                <w:color w:val="000000"/>
                <w:sz w:val="22"/>
                <w:szCs w:val="22"/>
              </w:rPr>
              <w:t xml:space="preserve"> 201</w:t>
            </w:r>
            <w:r>
              <w:rPr>
                <w:rFonts w:ascii="Calibri" w:hAnsi="Calibri" w:cs="Calibri"/>
                <w:color w:val="000000"/>
                <w:sz w:val="22"/>
                <w:szCs w:val="22"/>
              </w:rPr>
              <w:t>4</w:t>
            </w:r>
          </w:p>
        </w:tc>
        <w:tc>
          <w:tcPr>
            <w:tcW w:w="6180" w:type="dxa"/>
            <w:tcBorders>
              <w:top w:val="nil"/>
              <w:left w:val="nil"/>
              <w:bottom w:val="nil"/>
              <w:right w:val="nil"/>
            </w:tcBorders>
            <w:shd w:val="clear" w:color="auto" w:fill="auto"/>
            <w:hideMark/>
          </w:tcPr>
          <w:p w:rsidR="00B61E65" w:rsidRDefault="00B61E65">
            <w:pPr>
              <w:rPr>
                <w:rFonts w:ascii="Calibri" w:hAnsi="Calibri" w:cs="Calibri"/>
                <w:color w:val="000000"/>
                <w:sz w:val="22"/>
                <w:szCs w:val="22"/>
              </w:rPr>
            </w:pPr>
            <w:r>
              <w:rPr>
                <w:rFonts w:ascii="Calibri" w:hAnsi="Calibri" w:cs="Calibri"/>
                <w:color w:val="000000"/>
                <w:sz w:val="22"/>
                <w:szCs w:val="22"/>
              </w:rPr>
              <w:t>-Collect existing and relevant fish IBI data from the Milwaukee AOC (including expanded boundary)</w:t>
            </w:r>
          </w:p>
        </w:tc>
      </w:tr>
      <w:tr w:rsidR="00B61E65" w:rsidTr="00B61E65">
        <w:trPr>
          <w:trHeight w:val="300"/>
        </w:trPr>
        <w:tc>
          <w:tcPr>
            <w:tcW w:w="2400" w:type="dxa"/>
            <w:tcBorders>
              <w:top w:val="nil"/>
              <w:left w:val="nil"/>
              <w:bottom w:val="nil"/>
              <w:right w:val="nil"/>
            </w:tcBorders>
            <w:shd w:val="clear" w:color="auto" w:fill="auto"/>
            <w:hideMark/>
          </w:tcPr>
          <w:p w:rsidR="00B61E65" w:rsidRDefault="00B61E65">
            <w:pPr>
              <w:rPr>
                <w:rFonts w:ascii="Calibri" w:hAnsi="Calibri" w:cs="Calibri"/>
                <w:color w:val="000000"/>
                <w:sz w:val="22"/>
                <w:szCs w:val="22"/>
              </w:rPr>
            </w:pPr>
          </w:p>
        </w:tc>
        <w:tc>
          <w:tcPr>
            <w:tcW w:w="6180" w:type="dxa"/>
            <w:tcBorders>
              <w:top w:val="nil"/>
              <w:left w:val="nil"/>
              <w:bottom w:val="nil"/>
              <w:right w:val="nil"/>
            </w:tcBorders>
            <w:shd w:val="clear" w:color="auto" w:fill="auto"/>
            <w:hideMark/>
          </w:tcPr>
          <w:p w:rsidR="00B61E65" w:rsidRDefault="00F67E7E">
            <w:pPr>
              <w:rPr>
                <w:rFonts w:ascii="Calibri" w:hAnsi="Calibri" w:cs="Calibri"/>
                <w:color w:val="000000"/>
                <w:sz w:val="22"/>
                <w:szCs w:val="22"/>
              </w:rPr>
            </w:pPr>
            <w:r>
              <w:rPr>
                <w:rFonts w:ascii="Calibri" w:hAnsi="Calibri" w:cs="Calibri"/>
                <w:color w:val="000000"/>
                <w:sz w:val="22"/>
                <w:szCs w:val="22"/>
              </w:rPr>
              <w:t xml:space="preserve">-Quarterly update due February </w:t>
            </w:r>
            <w:r w:rsidR="00B61E65">
              <w:rPr>
                <w:rFonts w:ascii="Calibri" w:hAnsi="Calibri" w:cs="Calibri"/>
                <w:color w:val="000000"/>
                <w:sz w:val="22"/>
                <w:szCs w:val="22"/>
              </w:rPr>
              <w:t>1</w:t>
            </w:r>
            <w:r w:rsidRPr="00F67E7E">
              <w:rPr>
                <w:rFonts w:ascii="Calibri" w:hAnsi="Calibri" w:cs="Calibri"/>
                <w:color w:val="000000"/>
                <w:sz w:val="22"/>
                <w:szCs w:val="22"/>
                <w:vertAlign w:val="superscript"/>
              </w:rPr>
              <w:t>st</w:t>
            </w:r>
            <w:r w:rsidR="00B61E65">
              <w:rPr>
                <w:rFonts w:ascii="Calibri" w:hAnsi="Calibri" w:cs="Calibri"/>
                <w:color w:val="000000"/>
                <w:sz w:val="22"/>
                <w:szCs w:val="22"/>
              </w:rPr>
              <w:t>, 2013</w:t>
            </w:r>
          </w:p>
        </w:tc>
      </w:tr>
      <w:tr w:rsidR="00B61E65" w:rsidTr="00B61E65">
        <w:trPr>
          <w:trHeight w:val="300"/>
        </w:trPr>
        <w:tc>
          <w:tcPr>
            <w:tcW w:w="2400" w:type="dxa"/>
            <w:tcBorders>
              <w:top w:val="nil"/>
              <w:left w:val="nil"/>
              <w:bottom w:val="nil"/>
              <w:right w:val="nil"/>
            </w:tcBorders>
            <w:shd w:val="clear" w:color="auto" w:fill="auto"/>
            <w:hideMark/>
          </w:tcPr>
          <w:p w:rsidR="00B61E65" w:rsidRDefault="00B61E65">
            <w:pPr>
              <w:rPr>
                <w:rFonts w:ascii="Calibri" w:hAnsi="Calibri" w:cs="Calibri"/>
                <w:color w:val="000000"/>
                <w:sz w:val="22"/>
                <w:szCs w:val="22"/>
              </w:rPr>
            </w:pPr>
          </w:p>
        </w:tc>
        <w:tc>
          <w:tcPr>
            <w:tcW w:w="6180" w:type="dxa"/>
            <w:tcBorders>
              <w:top w:val="nil"/>
              <w:left w:val="nil"/>
              <w:bottom w:val="nil"/>
              <w:right w:val="nil"/>
            </w:tcBorders>
            <w:shd w:val="clear" w:color="auto" w:fill="auto"/>
            <w:hideMark/>
          </w:tcPr>
          <w:p w:rsidR="00B61E65" w:rsidRDefault="00B61E65">
            <w:pPr>
              <w:rPr>
                <w:rFonts w:ascii="Calibri" w:hAnsi="Calibri" w:cs="Calibri"/>
                <w:color w:val="000000"/>
                <w:sz w:val="22"/>
                <w:szCs w:val="22"/>
              </w:rPr>
            </w:pPr>
            <w:r>
              <w:rPr>
                <w:rFonts w:ascii="Calibri" w:hAnsi="Calibri" w:cs="Calibri"/>
                <w:color w:val="000000"/>
                <w:sz w:val="22"/>
                <w:szCs w:val="22"/>
              </w:rPr>
              <w:t xml:space="preserve">-Summarize existing fish IBI data </w:t>
            </w:r>
          </w:p>
        </w:tc>
      </w:tr>
      <w:tr w:rsidR="00B61E65" w:rsidTr="00B61E65">
        <w:trPr>
          <w:trHeight w:val="900"/>
        </w:trPr>
        <w:tc>
          <w:tcPr>
            <w:tcW w:w="2400" w:type="dxa"/>
            <w:tcBorders>
              <w:top w:val="nil"/>
              <w:left w:val="nil"/>
              <w:bottom w:val="nil"/>
              <w:right w:val="nil"/>
            </w:tcBorders>
            <w:shd w:val="clear" w:color="auto" w:fill="auto"/>
            <w:hideMark/>
          </w:tcPr>
          <w:p w:rsidR="00B61E65" w:rsidRDefault="00B61E65">
            <w:pPr>
              <w:rPr>
                <w:rFonts w:ascii="Calibri" w:hAnsi="Calibri" w:cs="Calibri"/>
                <w:color w:val="000000"/>
                <w:sz w:val="22"/>
                <w:szCs w:val="22"/>
              </w:rPr>
            </w:pPr>
          </w:p>
        </w:tc>
        <w:tc>
          <w:tcPr>
            <w:tcW w:w="6180" w:type="dxa"/>
            <w:tcBorders>
              <w:top w:val="nil"/>
              <w:left w:val="nil"/>
              <w:bottom w:val="nil"/>
              <w:right w:val="nil"/>
            </w:tcBorders>
            <w:shd w:val="clear" w:color="auto" w:fill="auto"/>
            <w:hideMark/>
          </w:tcPr>
          <w:p w:rsidR="00B61E65" w:rsidRDefault="00B61E65">
            <w:pPr>
              <w:rPr>
                <w:rFonts w:ascii="Calibri" w:hAnsi="Calibri" w:cs="Calibri"/>
                <w:color w:val="000000"/>
                <w:sz w:val="22"/>
                <w:szCs w:val="22"/>
              </w:rPr>
            </w:pPr>
            <w:r>
              <w:rPr>
                <w:rFonts w:ascii="Calibri" w:hAnsi="Calibri" w:cs="Calibri"/>
                <w:color w:val="000000"/>
                <w:sz w:val="22"/>
                <w:szCs w:val="22"/>
              </w:rPr>
              <w:t>-Summary of existing IBI data and recommentations for any necessary data collection shared with AOC Fish and Wildlife Technical Team and WDNR</w:t>
            </w:r>
          </w:p>
        </w:tc>
      </w:tr>
      <w:tr w:rsidR="00B61E65" w:rsidTr="00B61E65">
        <w:trPr>
          <w:trHeight w:val="600"/>
        </w:trPr>
        <w:tc>
          <w:tcPr>
            <w:tcW w:w="2400" w:type="dxa"/>
            <w:tcBorders>
              <w:top w:val="nil"/>
              <w:left w:val="nil"/>
              <w:bottom w:val="nil"/>
              <w:right w:val="nil"/>
            </w:tcBorders>
            <w:shd w:val="clear" w:color="auto" w:fill="auto"/>
            <w:hideMark/>
          </w:tcPr>
          <w:p w:rsidR="00B61E65" w:rsidRDefault="00B61E65">
            <w:pPr>
              <w:rPr>
                <w:rFonts w:ascii="Calibri" w:hAnsi="Calibri" w:cs="Calibri"/>
                <w:color w:val="000000"/>
                <w:sz w:val="22"/>
                <w:szCs w:val="22"/>
              </w:rPr>
            </w:pPr>
          </w:p>
        </w:tc>
        <w:tc>
          <w:tcPr>
            <w:tcW w:w="6180" w:type="dxa"/>
            <w:tcBorders>
              <w:top w:val="nil"/>
              <w:left w:val="nil"/>
              <w:bottom w:val="nil"/>
              <w:right w:val="nil"/>
            </w:tcBorders>
            <w:shd w:val="clear" w:color="auto" w:fill="auto"/>
            <w:hideMark/>
          </w:tcPr>
          <w:p w:rsidR="00B61E65" w:rsidRDefault="00B61E65">
            <w:pPr>
              <w:rPr>
                <w:rFonts w:ascii="Calibri" w:hAnsi="Calibri" w:cs="Calibri"/>
                <w:color w:val="000000"/>
                <w:sz w:val="22"/>
                <w:szCs w:val="22"/>
              </w:rPr>
            </w:pPr>
            <w:r>
              <w:rPr>
                <w:rFonts w:ascii="Calibri" w:hAnsi="Calibri" w:cs="Calibri"/>
                <w:color w:val="000000"/>
                <w:sz w:val="22"/>
                <w:szCs w:val="22"/>
              </w:rPr>
              <w:t>-Final Report including species and fish IBI summaries and recommendation</w:t>
            </w:r>
            <w:r w:rsidR="00AD0463">
              <w:rPr>
                <w:rFonts w:ascii="Calibri" w:hAnsi="Calibri" w:cs="Calibri"/>
                <w:color w:val="000000"/>
                <w:sz w:val="22"/>
                <w:szCs w:val="22"/>
              </w:rPr>
              <w:t>s submitted to the WDNR April</w:t>
            </w:r>
            <w:r>
              <w:rPr>
                <w:rFonts w:ascii="Calibri" w:hAnsi="Calibri" w:cs="Calibri"/>
                <w:color w:val="000000"/>
                <w:sz w:val="22"/>
                <w:szCs w:val="22"/>
              </w:rPr>
              <w:t xml:space="preserve"> 31</w:t>
            </w:r>
            <w:r w:rsidR="00AD0463" w:rsidRPr="00AD0463">
              <w:rPr>
                <w:rFonts w:ascii="Calibri" w:hAnsi="Calibri" w:cs="Calibri"/>
                <w:color w:val="000000"/>
                <w:sz w:val="22"/>
                <w:szCs w:val="22"/>
                <w:vertAlign w:val="superscript"/>
              </w:rPr>
              <w:t>st</w:t>
            </w:r>
            <w:r>
              <w:rPr>
                <w:rFonts w:ascii="Calibri" w:hAnsi="Calibri" w:cs="Calibri"/>
                <w:color w:val="000000"/>
                <w:sz w:val="22"/>
                <w:szCs w:val="22"/>
              </w:rPr>
              <w:t>, 201</w:t>
            </w:r>
            <w:r w:rsidR="00AD0463">
              <w:rPr>
                <w:rFonts w:ascii="Calibri" w:hAnsi="Calibri" w:cs="Calibri"/>
                <w:color w:val="000000"/>
                <w:sz w:val="22"/>
                <w:szCs w:val="22"/>
              </w:rPr>
              <w:t>4</w:t>
            </w:r>
            <w:bookmarkStart w:id="0" w:name="_GoBack"/>
            <w:bookmarkEnd w:id="0"/>
          </w:p>
        </w:tc>
      </w:tr>
      <w:tr w:rsidR="00B61E65" w:rsidTr="00B61E65">
        <w:trPr>
          <w:trHeight w:val="300"/>
        </w:trPr>
        <w:tc>
          <w:tcPr>
            <w:tcW w:w="2400" w:type="dxa"/>
            <w:tcBorders>
              <w:top w:val="nil"/>
              <w:left w:val="nil"/>
              <w:bottom w:val="single" w:sz="4" w:space="0" w:color="auto"/>
              <w:right w:val="nil"/>
            </w:tcBorders>
            <w:shd w:val="clear" w:color="auto" w:fill="auto"/>
            <w:vAlign w:val="bottom"/>
            <w:hideMark/>
          </w:tcPr>
          <w:p w:rsidR="00B61E65" w:rsidRDefault="00B61E65">
            <w:pPr>
              <w:rPr>
                <w:rFonts w:ascii="Calibri" w:hAnsi="Calibri" w:cs="Calibri"/>
                <w:color w:val="000000"/>
                <w:sz w:val="22"/>
                <w:szCs w:val="22"/>
              </w:rPr>
            </w:pPr>
            <w:r>
              <w:rPr>
                <w:rFonts w:ascii="Calibri" w:hAnsi="Calibri" w:cs="Calibri"/>
                <w:color w:val="000000"/>
                <w:sz w:val="22"/>
                <w:szCs w:val="22"/>
              </w:rPr>
              <w:t> </w:t>
            </w:r>
          </w:p>
        </w:tc>
        <w:tc>
          <w:tcPr>
            <w:tcW w:w="6180" w:type="dxa"/>
            <w:tcBorders>
              <w:top w:val="nil"/>
              <w:left w:val="nil"/>
              <w:bottom w:val="single" w:sz="4" w:space="0" w:color="auto"/>
              <w:right w:val="nil"/>
            </w:tcBorders>
            <w:shd w:val="clear" w:color="auto" w:fill="auto"/>
            <w:hideMark/>
          </w:tcPr>
          <w:p w:rsidR="00B61E65" w:rsidRDefault="00AD0463" w:rsidP="00AD0463">
            <w:pPr>
              <w:rPr>
                <w:rFonts w:ascii="Calibri" w:hAnsi="Calibri" w:cs="Calibri"/>
                <w:color w:val="000000"/>
                <w:sz w:val="22"/>
                <w:szCs w:val="22"/>
              </w:rPr>
            </w:pPr>
            <w:r>
              <w:rPr>
                <w:rFonts w:ascii="Calibri" w:hAnsi="Calibri" w:cs="Calibri"/>
                <w:color w:val="000000"/>
                <w:sz w:val="22"/>
                <w:szCs w:val="22"/>
              </w:rPr>
              <w:t>-2013 grant ends April 30</w:t>
            </w:r>
            <w:r w:rsidRPr="00AD0463">
              <w:rPr>
                <w:rFonts w:ascii="Calibri" w:hAnsi="Calibri" w:cs="Calibri"/>
                <w:color w:val="000000"/>
                <w:sz w:val="22"/>
                <w:szCs w:val="22"/>
                <w:vertAlign w:val="superscript"/>
              </w:rPr>
              <w:t>th</w:t>
            </w:r>
            <w:r w:rsidR="00B61E65">
              <w:rPr>
                <w:rFonts w:ascii="Calibri" w:hAnsi="Calibri" w:cs="Calibri"/>
                <w:color w:val="000000"/>
                <w:sz w:val="22"/>
                <w:szCs w:val="22"/>
              </w:rPr>
              <w:t>, 201</w:t>
            </w:r>
            <w:r>
              <w:rPr>
                <w:rFonts w:ascii="Calibri" w:hAnsi="Calibri" w:cs="Calibri"/>
                <w:color w:val="000000"/>
                <w:sz w:val="22"/>
                <w:szCs w:val="22"/>
              </w:rPr>
              <w:t>4</w:t>
            </w:r>
          </w:p>
        </w:tc>
      </w:tr>
    </w:tbl>
    <w:p w:rsidR="006550C5" w:rsidRDefault="006550C5" w:rsidP="006A175A">
      <w:pPr>
        <w:rPr>
          <w:b/>
          <w:i/>
        </w:rPr>
      </w:pPr>
    </w:p>
    <w:p w:rsidR="00653E12" w:rsidRDefault="006A175A" w:rsidP="006A175A">
      <w:pPr>
        <w:rPr>
          <w:b/>
          <w:i/>
        </w:rPr>
      </w:pPr>
      <w:r>
        <w:rPr>
          <w:b/>
          <w:i/>
        </w:rPr>
        <w:t xml:space="preserve">Project Budget: </w:t>
      </w:r>
    </w:p>
    <w:p w:rsidR="005F263C" w:rsidRPr="004123F4" w:rsidRDefault="00FC7A8F" w:rsidP="00B26399">
      <w:r>
        <w:rPr>
          <w:b/>
          <w:i/>
        </w:rPr>
        <w:tab/>
      </w:r>
      <w:r w:rsidR="00B26399" w:rsidRPr="00B26399">
        <w:t>-Staff time: 800 hours * $30/hr = $24,000</w:t>
      </w:r>
      <w:r w:rsidR="00FE44FA">
        <w:tab/>
      </w:r>
      <w:r w:rsidR="00501DFD">
        <w:t xml:space="preserve"> </w:t>
      </w:r>
    </w:p>
    <w:p w:rsidR="009A05D4" w:rsidRDefault="00DF1E2A" w:rsidP="008210BD">
      <w:pPr>
        <w:ind w:firstLine="720"/>
      </w:pPr>
      <w:r>
        <w:t xml:space="preserve">.  </w:t>
      </w:r>
    </w:p>
    <w:p w:rsidR="008210BD" w:rsidRDefault="008210BD" w:rsidP="009A05D4">
      <w:pPr>
        <w:rPr>
          <w:u w:val="single"/>
        </w:rPr>
      </w:pPr>
    </w:p>
    <w:p w:rsidR="00FE44FA" w:rsidRDefault="009A05D4" w:rsidP="009A05D4">
      <w:pPr>
        <w:rPr>
          <w:u w:val="single"/>
        </w:rPr>
      </w:pPr>
      <w:r w:rsidRPr="00B011B2">
        <w:rPr>
          <w:u w:val="single"/>
        </w:rPr>
        <w:t>References</w:t>
      </w:r>
    </w:p>
    <w:p w:rsidR="00FE44FA" w:rsidRDefault="00FE44FA" w:rsidP="009A05D4">
      <w:pPr>
        <w:rPr>
          <w:u w:val="single"/>
        </w:rPr>
      </w:pPr>
    </w:p>
    <w:p w:rsidR="00FE44FA" w:rsidRDefault="00401903" w:rsidP="009A05D4">
      <w:r>
        <w:t>Holey, M.E.  1986</w:t>
      </w:r>
      <w:r w:rsidR="00FE44FA">
        <w:t>.  Milwaukee Harbor estuary fish survey and toxic substance evaluation 1983.  Wisconsin Department of Natural Resources, 600 E. Greenfield Avenue, Milwaukee WI 53204.</w:t>
      </w:r>
    </w:p>
    <w:p w:rsidR="00FE44FA" w:rsidRPr="00FE44FA" w:rsidRDefault="00FE44FA" w:rsidP="009A05D4"/>
    <w:p w:rsidR="00FE44FA" w:rsidRDefault="00FE44FA" w:rsidP="009A05D4">
      <w:r>
        <w:t>Lyons, J., R.R. Piette, and K.W. Niermeyer.  2001.  Development, validation, and application of a fish-based index of biotic integrity for Wisconsin’s large warmwater rivers.  Transactions of the American Fisheries Society 130: 1077-1094.</w:t>
      </w:r>
    </w:p>
    <w:p w:rsidR="00FE44FA" w:rsidRDefault="00FE44FA" w:rsidP="009A05D4"/>
    <w:sectPr w:rsidR="00FE44FA" w:rsidSect="000323F9">
      <w:foot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6A6" w:rsidRDefault="00E726A6">
      <w:r>
        <w:separator/>
      </w:r>
    </w:p>
  </w:endnote>
  <w:endnote w:type="continuationSeparator" w:id="0">
    <w:p w:rsidR="00E726A6" w:rsidRDefault="00E7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63C" w:rsidRDefault="005F263C" w:rsidP="000323F9">
    <w:pPr>
      <w:pStyle w:val="Footer"/>
      <w:jc w:val="center"/>
    </w:pPr>
    <w:r>
      <w:rPr>
        <w:rStyle w:val="PageNumber"/>
      </w:rPr>
      <w:fldChar w:fldCharType="begin"/>
    </w:r>
    <w:r>
      <w:rPr>
        <w:rStyle w:val="PageNumber"/>
      </w:rPr>
      <w:instrText xml:space="preserve"> PAGE </w:instrText>
    </w:r>
    <w:r>
      <w:rPr>
        <w:rStyle w:val="PageNumber"/>
      </w:rPr>
      <w:fldChar w:fldCharType="separate"/>
    </w:r>
    <w:r w:rsidR="00DB4CE6">
      <w:rPr>
        <w:rStyle w:val="PageNumber"/>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6A6" w:rsidRDefault="00E726A6">
      <w:r>
        <w:separator/>
      </w:r>
    </w:p>
  </w:footnote>
  <w:footnote w:type="continuationSeparator" w:id="0">
    <w:p w:rsidR="00E726A6" w:rsidRDefault="00E72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A5CD6"/>
    <w:multiLevelType w:val="hybridMultilevel"/>
    <w:tmpl w:val="8728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1A5194"/>
    <w:multiLevelType w:val="hybridMultilevel"/>
    <w:tmpl w:val="E6DE99A8"/>
    <w:lvl w:ilvl="0" w:tplc="50D08B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2845AB"/>
    <w:multiLevelType w:val="hybridMultilevel"/>
    <w:tmpl w:val="CCB01B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6F296B"/>
    <w:multiLevelType w:val="hybridMultilevel"/>
    <w:tmpl w:val="7F7052A2"/>
    <w:lvl w:ilvl="0" w:tplc="D90C32A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A175A"/>
    <w:rsid w:val="00027185"/>
    <w:rsid w:val="000323F9"/>
    <w:rsid w:val="00060508"/>
    <w:rsid w:val="00064E7F"/>
    <w:rsid w:val="00074727"/>
    <w:rsid w:val="00074F92"/>
    <w:rsid w:val="000A7D90"/>
    <w:rsid w:val="000B110F"/>
    <w:rsid w:val="001108F0"/>
    <w:rsid w:val="0012696A"/>
    <w:rsid w:val="00181F2B"/>
    <w:rsid w:val="00197163"/>
    <w:rsid w:val="001B3750"/>
    <w:rsid w:val="001E7029"/>
    <w:rsid w:val="001F0621"/>
    <w:rsid w:val="002205A9"/>
    <w:rsid w:val="00227086"/>
    <w:rsid w:val="00233F8A"/>
    <w:rsid w:val="002616A6"/>
    <w:rsid w:val="00274044"/>
    <w:rsid w:val="0028743F"/>
    <w:rsid w:val="00297761"/>
    <w:rsid w:val="002C49A8"/>
    <w:rsid w:val="002D7D97"/>
    <w:rsid w:val="00307738"/>
    <w:rsid w:val="003257F7"/>
    <w:rsid w:val="00326CEB"/>
    <w:rsid w:val="003324B1"/>
    <w:rsid w:val="00360BF4"/>
    <w:rsid w:val="00362AE9"/>
    <w:rsid w:val="00380115"/>
    <w:rsid w:val="00383A11"/>
    <w:rsid w:val="00395F1D"/>
    <w:rsid w:val="003A33A5"/>
    <w:rsid w:val="003C16B8"/>
    <w:rsid w:val="003C1884"/>
    <w:rsid w:val="00401903"/>
    <w:rsid w:val="004123F4"/>
    <w:rsid w:val="004558CB"/>
    <w:rsid w:val="00460D82"/>
    <w:rsid w:val="00461BB9"/>
    <w:rsid w:val="0047524C"/>
    <w:rsid w:val="0049204E"/>
    <w:rsid w:val="00493121"/>
    <w:rsid w:val="004955F6"/>
    <w:rsid w:val="004B519B"/>
    <w:rsid w:val="004D676C"/>
    <w:rsid w:val="00501DFD"/>
    <w:rsid w:val="005247CC"/>
    <w:rsid w:val="00533BEF"/>
    <w:rsid w:val="00551A61"/>
    <w:rsid w:val="0055270D"/>
    <w:rsid w:val="0056707F"/>
    <w:rsid w:val="0057552C"/>
    <w:rsid w:val="005A4D95"/>
    <w:rsid w:val="005F263C"/>
    <w:rsid w:val="006120A3"/>
    <w:rsid w:val="00653E12"/>
    <w:rsid w:val="006550C5"/>
    <w:rsid w:val="0066698C"/>
    <w:rsid w:val="00667E4A"/>
    <w:rsid w:val="00671612"/>
    <w:rsid w:val="00686B8B"/>
    <w:rsid w:val="006A175A"/>
    <w:rsid w:val="006B2A6D"/>
    <w:rsid w:val="006D1370"/>
    <w:rsid w:val="006E130C"/>
    <w:rsid w:val="006E760C"/>
    <w:rsid w:val="006E78AE"/>
    <w:rsid w:val="006F2A91"/>
    <w:rsid w:val="007357E2"/>
    <w:rsid w:val="007721D0"/>
    <w:rsid w:val="00781AD5"/>
    <w:rsid w:val="007A7085"/>
    <w:rsid w:val="007B7477"/>
    <w:rsid w:val="0080618B"/>
    <w:rsid w:val="008210BD"/>
    <w:rsid w:val="00852D13"/>
    <w:rsid w:val="008970EB"/>
    <w:rsid w:val="008B3EC4"/>
    <w:rsid w:val="008D6041"/>
    <w:rsid w:val="009133D4"/>
    <w:rsid w:val="009345DF"/>
    <w:rsid w:val="00946D14"/>
    <w:rsid w:val="00956979"/>
    <w:rsid w:val="00962C17"/>
    <w:rsid w:val="00981D73"/>
    <w:rsid w:val="00982678"/>
    <w:rsid w:val="009910E0"/>
    <w:rsid w:val="0099286E"/>
    <w:rsid w:val="00993313"/>
    <w:rsid w:val="009A05D4"/>
    <w:rsid w:val="009B2B42"/>
    <w:rsid w:val="009B4D15"/>
    <w:rsid w:val="009C5109"/>
    <w:rsid w:val="009E0384"/>
    <w:rsid w:val="00A07ABC"/>
    <w:rsid w:val="00A46D40"/>
    <w:rsid w:val="00A76BA7"/>
    <w:rsid w:val="00A93690"/>
    <w:rsid w:val="00AB17D6"/>
    <w:rsid w:val="00AD0463"/>
    <w:rsid w:val="00AD2ACB"/>
    <w:rsid w:val="00AD4FB8"/>
    <w:rsid w:val="00AF111D"/>
    <w:rsid w:val="00AF17DD"/>
    <w:rsid w:val="00B011B2"/>
    <w:rsid w:val="00B030A4"/>
    <w:rsid w:val="00B0498B"/>
    <w:rsid w:val="00B26399"/>
    <w:rsid w:val="00B26776"/>
    <w:rsid w:val="00B3363F"/>
    <w:rsid w:val="00B50EB5"/>
    <w:rsid w:val="00B61E65"/>
    <w:rsid w:val="00B64008"/>
    <w:rsid w:val="00B65A94"/>
    <w:rsid w:val="00B9559D"/>
    <w:rsid w:val="00BA0F22"/>
    <w:rsid w:val="00BA4C28"/>
    <w:rsid w:val="00BB1744"/>
    <w:rsid w:val="00BB2189"/>
    <w:rsid w:val="00BB26C4"/>
    <w:rsid w:val="00BB6CB4"/>
    <w:rsid w:val="00BB6CCC"/>
    <w:rsid w:val="00BF5870"/>
    <w:rsid w:val="00C04A0C"/>
    <w:rsid w:val="00C13453"/>
    <w:rsid w:val="00C1404B"/>
    <w:rsid w:val="00C35FBA"/>
    <w:rsid w:val="00C53B5F"/>
    <w:rsid w:val="00C748D4"/>
    <w:rsid w:val="00C9193E"/>
    <w:rsid w:val="00CB2AF2"/>
    <w:rsid w:val="00CB4391"/>
    <w:rsid w:val="00CD192F"/>
    <w:rsid w:val="00CE1B45"/>
    <w:rsid w:val="00CE2DB2"/>
    <w:rsid w:val="00D00028"/>
    <w:rsid w:val="00D07FA8"/>
    <w:rsid w:val="00D24A52"/>
    <w:rsid w:val="00D43096"/>
    <w:rsid w:val="00D515D6"/>
    <w:rsid w:val="00D62428"/>
    <w:rsid w:val="00D824B6"/>
    <w:rsid w:val="00D85425"/>
    <w:rsid w:val="00D91CF3"/>
    <w:rsid w:val="00DB4CE6"/>
    <w:rsid w:val="00DD1C9E"/>
    <w:rsid w:val="00DF1E2A"/>
    <w:rsid w:val="00DF49FF"/>
    <w:rsid w:val="00DF7F48"/>
    <w:rsid w:val="00E114EF"/>
    <w:rsid w:val="00E12CE2"/>
    <w:rsid w:val="00E34546"/>
    <w:rsid w:val="00E436D3"/>
    <w:rsid w:val="00E726A6"/>
    <w:rsid w:val="00E809B1"/>
    <w:rsid w:val="00EB119C"/>
    <w:rsid w:val="00EC63EE"/>
    <w:rsid w:val="00EC7E66"/>
    <w:rsid w:val="00ED2F3D"/>
    <w:rsid w:val="00EE1D61"/>
    <w:rsid w:val="00EF2F53"/>
    <w:rsid w:val="00F42D70"/>
    <w:rsid w:val="00F500C9"/>
    <w:rsid w:val="00F542E8"/>
    <w:rsid w:val="00F67E7E"/>
    <w:rsid w:val="00F80316"/>
    <w:rsid w:val="00F82283"/>
    <w:rsid w:val="00FA3197"/>
    <w:rsid w:val="00FB5898"/>
    <w:rsid w:val="00FC2630"/>
    <w:rsid w:val="00FC7A8F"/>
    <w:rsid w:val="00FE44FA"/>
    <w:rsid w:val="00FF2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75A"/>
    <w:rPr>
      <w:sz w:val="24"/>
      <w:szCs w:val="24"/>
    </w:rPr>
  </w:style>
  <w:style w:type="paragraph" w:styleId="Heading1">
    <w:name w:val="heading 1"/>
    <w:basedOn w:val="Normal"/>
    <w:next w:val="Normal"/>
    <w:qFormat/>
    <w:rsid w:val="006A175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A175A"/>
    <w:pPr>
      <w:tabs>
        <w:tab w:val="center" w:pos="4320"/>
        <w:tab w:val="right" w:pos="8640"/>
      </w:tabs>
    </w:pPr>
  </w:style>
  <w:style w:type="character" w:styleId="PageNumber">
    <w:name w:val="page number"/>
    <w:basedOn w:val="DefaultParagraphFont"/>
    <w:rsid w:val="006A175A"/>
  </w:style>
  <w:style w:type="table" w:styleId="TableGrid">
    <w:name w:val="Table Grid"/>
    <w:basedOn w:val="TableNormal"/>
    <w:rsid w:val="00F542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542E8"/>
    <w:rPr>
      <w:color w:val="0000FF"/>
      <w:u w:val="single"/>
    </w:rPr>
  </w:style>
  <w:style w:type="paragraph" w:styleId="BalloonText">
    <w:name w:val="Balloon Text"/>
    <w:basedOn w:val="Normal"/>
    <w:semiHidden/>
    <w:rsid w:val="006B2A6D"/>
    <w:rPr>
      <w:rFonts w:ascii="Tahoma" w:hAnsi="Tahoma" w:cs="Tahoma"/>
      <w:sz w:val="16"/>
      <w:szCs w:val="16"/>
    </w:rPr>
  </w:style>
  <w:style w:type="character" w:styleId="CommentReference">
    <w:name w:val="annotation reference"/>
    <w:semiHidden/>
    <w:rsid w:val="003C1884"/>
    <w:rPr>
      <w:sz w:val="16"/>
      <w:szCs w:val="16"/>
    </w:rPr>
  </w:style>
  <w:style w:type="paragraph" w:styleId="CommentText">
    <w:name w:val="annotation text"/>
    <w:basedOn w:val="Normal"/>
    <w:semiHidden/>
    <w:rsid w:val="003C1884"/>
    <w:rPr>
      <w:sz w:val="20"/>
      <w:szCs w:val="20"/>
    </w:rPr>
  </w:style>
  <w:style w:type="paragraph" w:styleId="CommentSubject">
    <w:name w:val="annotation subject"/>
    <w:basedOn w:val="CommentText"/>
    <w:next w:val="CommentText"/>
    <w:semiHidden/>
    <w:rsid w:val="003C1884"/>
    <w:rPr>
      <w:b/>
      <w:bCs/>
    </w:rPr>
  </w:style>
  <w:style w:type="paragraph" w:customStyle="1" w:styleId="Default">
    <w:name w:val="Default"/>
    <w:rsid w:val="00551A6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8172">
      <w:bodyDiv w:val="1"/>
      <w:marLeft w:val="0"/>
      <w:marRight w:val="0"/>
      <w:marTop w:val="0"/>
      <w:marBottom w:val="0"/>
      <w:divBdr>
        <w:top w:val="none" w:sz="0" w:space="0" w:color="auto"/>
        <w:left w:val="none" w:sz="0" w:space="0" w:color="auto"/>
        <w:bottom w:val="none" w:sz="0" w:space="0" w:color="auto"/>
        <w:right w:val="none" w:sz="0" w:space="0" w:color="auto"/>
      </w:divBdr>
    </w:div>
    <w:div w:id="1236477142">
      <w:bodyDiv w:val="1"/>
      <w:marLeft w:val="0"/>
      <w:marRight w:val="0"/>
      <w:marTop w:val="0"/>
      <w:marBottom w:val="0"/>
      <w:divBdr>
        <w:top w:val="none" w:sz="0" w:space="0" w:color="auto"/>
        <w:left w:val="none" w:sz="0" w:space="0" w:color="auto"/>
        <w:bottom w:val="none" w:sz="0" w:space="0" w:color="auto"/>
        <w:right w:val="none" w:sz="0" w:space="0" w:color="auto"/>
      </w:divBdr>
    </w:div>
    <w:div w:id="1283999457">
      <w:bodyDiv w:val="1"/>
      <w:marLeft w:val="0"/>
      <w:marRight w:val="0"/>
      <w:marTop w:val="0"/>
      <w:marBottom w:val="0"/>
      <w:divBdr>
        <w:top w:val="none" w:sz="0" w:space="0" w:color="auto"/>
        <w:left w:val="none" w:sz="0" w:space="0" w:color="auto"/>
        <w:bottom w:val="none" w:sz="0" w:space="0" w:color="auto"/>
        <w:right w:val="none" w:sz="0" w:space="0" w:color="auto"/>
      </w:divBdr>
      <w:divsChild>
        <w:div w:id="1449154311">
          <w:marLeft w:val="0"/>
          <w:marRight w:val="0"/>
          <w:marTop w:val="0"/>
          <w:marBottom w:val="0"/>
          <w:divBdr>
            <w:top w:val="none" w:sz="0" w:space="0" w:color="auto"/>
            <w:left w:val="none" w:sz="0" w:space="0" w:color="auto"/>
            <w:bottom w:val="none" w:sz="0" w:space="0" w:color="auto"/>
            <w:right w:val="none" w:sz="0" w:space="0" w:color="auto"/>
          </w:divBdr>
          <w:divsChild>
            <w:div w:id="810440218">
              <w:marLeft w:val="0"/>
              <w:marRight w:val="0"/>
              <w:marTop w:val="0"/>
              <w:marBottom w:val="150"/>
              <w:divBdr>
                <w:top w:val="none" w:sz="0" w:space="0" w:color="auto"/>
                <w:left w:val="none" w:sz="0" w:space="0" w:color="auto"/>
                <w:bottom w:val="none" w:sz="0" w:space="0" w:color="auto"/>
                <w:right w:val="none" w:sz="0" w:space="0" w:color="auto"/>
              </w:divBdr>
              <w:divsChild>
                <w:div w:id="1029649142">
                  <w:marLeft w:val="0"/>
                  <w:marRight w:val="300"/>
                  <w:marTop w:val="255"/>
                  <w:marBottom w:val="0"/>
                  <w:divBdr>
                    <w:top w:val="none" w:sz="0" w:space="0" w:color="auto"/>
                    <w:left w:val="none" w:sz="0" w:space="0" w:color="auto"/>
                    <w:bottom w:val="none" w:sz="0" w:space="0" w:color="auto"/>
                    <w:right w:val="none" w:sz="0" w:space="0" w:color="auto"/>
                  </w:divBdr>
                  <w:divsChild>
                    <w:div w:id="9763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7F785-4676-4C2B-9EB3-9DF153CE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5441</Characters>
  <Application>Microsoft Office Word</Application>
  <DocSecurity>0</DocSecurity>
  <PresentationFormat>[Compatibility Mode]</PresentationFormat>
  <Lines>45</Lines>
  <Paragraphs>12</Paragraphs>
  <ScaleCrop>false</ScaleCrop>
  <HeadingPairs>
    <vt:vector size="2" baseType="variant">
      <vt:variant>
        <vt:lpstr>Title</vt:lpstr>
      </vt:variant>
      <vt:variant>
        <vt:i4>1</vt:i4>
      </vt:variant>
    </vt:vector>
  </HeadingPairs>
  <TitlesOfParts>
    <vt:vector size="1" baseType="lpstr">
      <vt:lpstr>SEWRPC FLDLD-SW ENG INITIAL INTVW QUESTIONS (SEWRPC habitat support-phase 1).doc</vt:lpstr>
    </vt:vector>
  </TitlesOfParts>
  <Company>Wisconsin DNR</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SEWRPC FLDLD-SW ENG INITIAL INTVW QUESTIONS (SEWRPC habitat support-phase 1).doc</dc:title>
  <dc:subject>#SEWRPC habitat support-phase 1 V-1</dc:subject>
  <dc:creator>Megan O'Shea</dc:creator>
  <cp:lastModifiedBy>Fayram, Andrew</cp:lastModifiedBy>
  <cp:revision>2</cp:revision>
  <cp:lastPrinted>2013-04-23T14:04:00Z</cp:lastPrinted>
  <dcterms:created xsi:type="dcterms:W3CDTF">2013-07-10T20:54:00Z</dcterms:created>
  <dcterms:modified xsi:type="dcterms:W3CDTF">2013-07-10T20:54:00Z</dcterms:modified>
</cp:coreProperties>
</file>