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8A" w:rsidRDefault="00EE4E19" w:rsidP="00EE4E19">
      <w:pPr>
        <w:jc w:val="center"/>
        <w:rPr>
          <w:rFonts w:ascii="Times New Roman" w:hAnsi="Times New Roman" w:cs="Times New Roman"/>
          <w:b/>
          <w:sz w:val="24"/>
        </w:rPr>
      </w:pPr>
      <w:r>
        <w:rPr>
          <w:rFonts w:ascii="Times New Roman" w:hAnsi="Times New Roman" w:cs="Times New Roman"/>
          <w:b/>
          <w:sz w:val="24"/>
        </w:rPr>
        <w:t>Milwaukee River South Watershed</w:t>
      </w:r>
    </w:p>
    <w:p w:rsidR="00EE4E19" w:rsidRDefault="00EE4E19" w:rsidP="00EE4E19">
      <w:pPr>
        <w:pStyle w:val="Introduction"/>
      </w:pPr>
      <w:r>
        <w:t xml:space="preserve">The Milwaukee River South Watershed covers about 168 square miles and is located in portions of Ozaukee and </w:t>
      </w:r>
      <w:proofErr w:type="spellStart"/>
      <w:r>
        <w:t>MilwaukeeCounties</w:t>
      </w:r>
      <w:proofErr w:type="spellEnd"/>
      <w:r>
        <w:t>. The Milwaukee River main stem enters the watershed west of the Village of Fredonia and flows for about 48 miles before entering the Milwaukee Harbor. There are three small named lakes, several unnamed lakes and many park ponds within the Milwaukee River South Watershed.</w:t>
      </w:r>
    </w:p>
    <w:p w:rsidR="00EE4E19" w:rsidRDefault="00EE4E19" w:rsidP="00EE4E19">
      <w:pPr>
        <w:pStyle w:val="Introduction"/>
      </w:pPr>
    </w:p>
    <w:p w:rsidR="00EE4E19" w:rsidRDefault="00EE4E19" w:rsidP="00EE4E19">
      <w:pPr>
        <w:pStyle w:val="Introduction"/>
      </w:pPr>
      <w:r>
        <w:t>Most of the tributary streams in the Milwaukee County portion of this watershed are only capable of supporting populations of more tolerant fish species like common carp. Although not officially listed as a cold water stream, Mole Creek in Ozaukee County is the only river in the Milwaukee South Watershed with the ability to sustain cool and cold water fish species.</w:t>
      </w:r>
    </w:p>
    <w:p w:rsidR="00175229" w:rsidRDefault="00175229" w:rsidP="00EE4E19">
      <w:pPr>
        <w:pStyle w:val="Introduction"/>
      </w:pPr>
    </w:p>
    <w:tbl>
      <w:tblPr>
        <w:tblStyle w:val="TableGrid"/>
        <w:tblW w:w="0" w:type="auto"/>
        <w:tblLook w:val="04A0" w:firstRow="1" w:lastRow="0" w:firstColumn="1" w:lastColumn="0" w:noHBand="0" w:noVBand="1"/>
      </w:tblPr>
      <w:tblGrid>
        <w:gridCol w:w="9576"/>
      </w:tblGrid>
      <w:tr w:rsidR="00175229" w:rsidTr="00175229">
        <w:tc>
          <w:tcPr>
            <w:tcW w:w="9576" w:type="dxa"/>
            <w:shd w:val="clear" w:color="auto" w:fill="E5DFEC" w:themeFill="accent4" w:themeFillTint="33"/>
          </w:tcPr>
          <w:p w:rsidR="00175229" w:rsidRPr="00175229" w:rsidRDefault="00175229" w:rsidP="00175229">
            <w:pPr>
              <w:pStyle w:val="Introduction"/>
              <w:jc w:val="center"/>
              <w:rPr>
                <w:b/>
                <w:i w:val="0"/>
                <w:sz w:val="24"/>
              </w:rPr>
            </w:pPr>
            <w:r>
              <w:rPr>
                <w:b/>
                <w:i w:val="0"/>
                <w:sz w:val="24"/>
              </w:rPr>
              <w:t>Watershed Details</w:t>
            </w:r>
          </w:p>
        </w:tc>
      </w:tr>
    </w:tbl>
    <w:p w:rsidR="00175229" w:rsidRDefault="00175229" w:rsidP="00EE4E19">
      <w:pPr>
        <w:pStyle w:val="Introduction"/>
      </w:pPr>
    </w:p>
    <w:p w:rsidR="00B33E34" w:rsidRPr="00B33E34" w:rsidRDefault="00B33E34" w:rsidP="00EE4E19">
      <w:pPr>
        <w:pStyle w:val="Introduction"/>
        <w:rPr>
          <w:rFonts w:ascii="Myriad Pro" w:hAnsi="Myriad Pro"/>
          <w:i w:val="0"/>
        </w:rPr>
      </w:pPr>
    </w:p>
    <w:p w:rsidR="00B33E34" w:rsidRPr="00D850A7" w:rsidRDefault="00D850A7" w:rsidP="00D850A7">
      <w:pPr>
        <w:pStyle w:val="WatershedText"/>
        <w:rPr>
          <w:rFonts w:ascii="Adobe Garamond Pro" w:hAnsi="Adobe Garamond Pro"/>
        </w:rPr>
      </w:pPr>
      <w:r w:rsidRPr="00D850A7">
        <w:t>At the time of the 2010 Census, the Wisconsin Population Lab has determined the Milwaukee River South Watershed to contain 401,172 inhabitants.</w:t>
      </w:r>
      <w:r w:rsidRPr="00D850A7">
        <w:rPr>
          <w:rFonts w:ascii="Adobe Garamond Pro" w:hAnsi="Adobe Garamond Pro"/>
        </w:rPr>
        <w:t xml:space="preserve">  </w:t>
      </w:r>
      <w:r w:rsidR="0072608E">
        <w:t xml:space="preserve">The Milwaukee River South Watershed has an extremely diverse land uses. The most dominant land use in this watershed is Agriculture, which constitutes approximately 31% of the watershed. Suburban is the second largest land use (20.47%) followed closely by Urban (17.15%). The next largest watershed land components are Open Land and Water (12.59%) followed by Forest (12.23%). </w:t>
      </w:r>
      <w:r w:rsidR="00902271">
        <w:t xml:space="preserve">The last sizeable portion of the watershed belongs to Wetlands, which constitutes 5.61% of the watershed. Grassland (0.74%) and Barren (0.18%) make up the remainder of the watershed. </w:t>
      </w:r>
    </w:p>
    <w:p w:rsidR="00B33E34" w:rsidRDefault="00B33E34" w:rsidP="00EE4E19">
      <w:pPr>
        <w:pStyle w:val="Introduction"/>
      </w:pPr>
    </w:p>
    <w:p w:rsidR="00B33E34" w:rsidRDefault="00B33E34" w:rsidP="00EE4E19">
      <w:pPr>
        <w:pStyle w:val="Introduction"/>
      </w:pPr>
    </w:p>
    <w:p w:rsidR="00EE4E19" w:rsidRDefault="00B33E34" w:rsidP="00EE4E19">
      <w:pPr>
        <w:rPr>
          <w:rFonts w:ascii="Times New Roman" w:hAnsi="Times New Roman" w:cs="Times New Roman"/>
          <w:b/>
          <w:sz w:val="24"/>
        </w:rPr>
      </w:pPr>
      <w:r>
        <w:rPr>
          <w:noProof/>
        </w:rPr>
        <w:drawing>
          <wp:inline distT="0" distB="0" distL="0" distR="0" wp14:anchorId="208D2C6E" wp14:editId="6960B2B0">
            <wp:extent cx="5705475" cy="4086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16AB" w:rsidRDefault="005D16AB" w:rsidP="00EE4E19">
      <w:pPr>
        <w:rPr>
          <w:rFonts w:ascii="Times New Roman" w:hAnsi="Times New Roman" w:cs="Times New Roman"/>
          <w:b/>
          <w:sz w:val="24"/>
        </w:rPr>
      </w:pPr>
    </w:p>
    <w:tbl>
      <w:tblPr>
        <w:tblW w:w="0" w:type="auto"/>
        <w:tblInd w:w="1222" w:type="dxa"/>
        <w:tblLayout w:type="fixed"/>
        <w:tblCellMar>
          <w:left w:w="0" w:type="dxa"/>
          <w:right w:w="0" w:type="dxa"/>
        </w:tblCellMar>
        <w:tblLook w:val="0000" w:firstRow="0" w:lastRow="0" w:firstColumn="0" w:lastColumn="0" w:noHBand="0" w:noVBand="0"/>
      </w:tblPr>
      <w:tblGrid>
        <w:gridCol w:w="2160"/>
        <w:gridCol w:w="2250"/>
        <w:gridCol w:w="2520"/>
      </w:tblGrid>
      <w:tr w:rsidR="005D16AB" w:rsidTr="00056A8F">
        <w:trPr>
          <w:trHeight w:val="300"/>
        </w:trPr>
        <w:tc>
          <w:tcPr>
            <w:tcW w:w="6930" w:type="dxa"/>
            <w:gridSpan w:val="3"/>
            <w:tcBorders>
              <w:top w:val="single" w:sz="8" w:space="0" w:color="000000"/>
              <w:left w:val="single" w:sz="8" w:space="0" w:color="000000"/>
              <w:bottom w:val="single" w:sz="8" w:space="0" w:color="000000"/>
              <w:right w:val="single" w:sz="8" w:space="0" w:color="000000"/>
            </w:tcBorders>
            <w:shd w:val="solid" w:color="BC95C0" w:fill="auto"/>
            <w:tcMar>
              <w:top w:w="80" w:type="dxa"/>
              <w:left w:w="80" w:type="dxa"/>
              <w:bottom w:w="80" w:type="dxa"/>
              <w:right w:w="80" w:type="dxa"/>
            </w:tcMar>
          </w:tcPr>
          <w:p w:rsidR="005D16AB" w:rsidRDefault="005D16AB" w:rsidP="00056A8F">
            <w:pPr>
              <w:pStyle w:val="Caption"/>
            </w:pPr>
            <w:r>
              <w:lastRenderedPageBreak/>
              <w:t>Table 1: South Milwaukee River Watershed Land Use</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shd w:val="solid" w:color="BC95C0" w:fill="auto"/>
            <w:tcMar>
              <w:top w:w="80" w:type="dxa"/>
              <w:left w:w="80" w:type="dxa"/>
              <w:bottom w:w="80" w:type="dxa"/>
              <w:right w:w="80" w:type="dxa"/>
            </w:tcMar>
          </w:tcPr>
          <w:p w:rsidR="005D16AB" w:rsidRDefault="005D16AB" w:rsidP="00056A8F">
            <w:pPr>
              <w:pStyle w:val="TableHeadTable"/>
            </w:pPr>
            <w:r>
              <w:t>Land Use</w:t>
            </w:r>
          </w:p>
        </w:tc>
        <w:tc>
          <w:tcPr>
            <w:tcW w:w="2250" w:type="dxa"/>
            <w:tcBorders>
              <w:top w:val="single" w:sz="8" w:space="0" w:color="000000"/>
              <w:left w:val="single" w:sz="8" w:space="0" w:color="000000"/>
              <w:bottom w:val="single" w:sz="8" w:space="0" w:color="000000"/>
              <w:right w:val="single" w:sz="8" w:space="0" w:color="000000"/>
            </w:tcBorders>
            <w:shd w:val="solid" w:color="BC95C0" w:fill="auto"/>
            <w:tcMar>
              <w:top w:w="80" w:type="dxa"/>
              <w:left w:w="80" w:type="dxa"/>
              <w:bottom w:w="80" w:type="dxa"/>
              <w:right w:w="80" w:type="dxa"/>
            </w:tcMar>
          </w:tcPr>
          <w:p w:rsidR="005D16AB" w:rsidRDefault="005D16AB" w:rsidP="00056A8F">
            <w:pPr>
              <w:pStyle w:val="TableHeadTable"/>
            </w:pPr>
            <w:r>
              <w:t>Acres</w:t>
            </w:r>
          </w:p>
        </w:tc>
        <w:tc>
          <w:tcPr>
            <w:tcW w:w="2520" w:type="dxa"/>
            <w:tcBorders>
              <w:top w:val="single" w:sz="8" w:space="0" w:color="000000"/>
              <w:left w:val="single" w:sz="8" w:space="0" w:color="000000"/>
              <w:bottom w:val="single" w:sz="8" w:space="0" w:color="000000"/>
              <w:right w:val="single" w:sz="8" w:space="0" w:color="000000"/>
            </w:tcBorders>
            <w:shd w:val="solid" w:color="BC95C0" w:fill="auto"/>
            <w:tcMar>
              <w:top w:w="80" w:type="dxa"/>
              <w:left w:w="80" w:type="dxa"/>
              <w:bottom w:w="80" w:type="dxa"/>
              <w:right w:w="80" w:type="dxa"/>
            </w:tcMar>
          </w:tcPr>
          <w:p w:rsidR="005D16AB" w:rsidRDefault="005D16AB" w:rsidP="00056A8F">
            <w:pPr>
              <w:pStyle w:val="TableHeadTable"/>
            </w:pPr>
            <w:r>
              <w:t>% of Area</w:t>
            </w:r>
          </w:p>
        </w:tc>
      </w:tr>
      <w:tr w:rsidR="005D16AB" w:rsidTr="00056A8F">
        <w:trPr>
          <w:trHeight w:val="326"/>
        </w:trPr>
        <w:tc>
          <w:tcPr>
            <w:tcW w:w="216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5D16AB" w:rsidP="00056A8F">
            <w:pPr>
              <w:pStyle w:val="TableTable"/>
              <w:jc w:val="center"/>
            </w:pPr>
            <w:r>
              <w:t>Agriculture</w:t>
            </w:r>
          </w:p>
        </w:tc>
        <w:tc>
          <w:tcPr>
            <w:tcW w:w="225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8D7E66" w:rsidP="00056A8F">
            <w:pPr>
              <w:pStyle w:val="BasicParagraph"/>
              <w:jc w:val="center"/>
            </w:pPr>
            <w:r>
              <w:t>33,343.50</w:t>
            </w:r>
          </w:p>
        </w:tc>
        <w:tc>
          <w:tcPr>
            <w:tcW w:w="252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BasicParagraph"/>
              <w:jc w:val="center"/>
            </w:pPr>
            <w:r>
              <w:t>31.03</w:t>
            </w:r>
            <w:r w:rsidR="005D16AB">
              <w:t>%</w:t>
            </w:r>
          </w:p>
        </w:tc>
      </w:tr>
      <w:tr w:rsidR="005D16AB" w:rsidTr="00056A8F">
        <w:trPr>
          <w:trHeight w:val="326"/>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TableTable"/>
              <w:jc w:val="center"/>
            </w:pPr>
            <w:r>
              <w:t>Suburban</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8D7E66" w:rsidP="00056A8F">
            <w:pPr>
              <w:pStyle w:val="BasicParagraph"/>
              <w:jc w:val="center"/>
            </w:pPr>
            <w:r>
              <w:t>21,996.18</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BasicParagraph"/>
              <w:jc w:val="center"/>
            </w:pPr>
            <w:r>
              <w:t>20.47</w:t>
            </w:r>
            <w:r w:rsidR="005D16AB">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TableTable"/>
              <w:jc w:val="center"/>
            </w:pPr>
            <w:r>
              <w:t>Urban</w:t>
            </w:r>
          </w:p>
        </w:tc>
        <w:tc>
          <w:tcPr>
            <w:tcW w:w="225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8D7E66" w:rsidP="00056A8F">
            <w:pPr>
              <w:pStyle w:val="BasicParagraph"/>
              <w:jc w:val="center"/>
            </w:pPr>
            <w:r>
              <w:t>18,428.65</w:t>
            </w:r>
          </w:p>
        </w:tc>
        <w:tc>
          <w:tcPr>
            <w:tcW w:w="252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BasicParagraph"/>
              <w:jc w:val="center"/>
            </w:pPr>
            <w:r>
              <w:t>17.15</w:t>
            </w:r>
            <w:r w:rsidR="005D16AB">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TableTable"/>
              <w:jc w:val="center"/>
            </w:pPr>
            <w:r>
              <w:t>Open Land and Water</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8D7E66" w:rsidP="00056A8F">
            <w:pPr>
              <w:pStyle w:val="BasicParagraph"/>
              <w:jc w:val="center"/>
            </w:pPr>
            <w:r>
              <w:t>12,528.67</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BasicParagraph"/>
              <w:jc w:val="center"/>
            </w:pPr>
            <w:r>
              <w:t>12.59</w:t>
            </w:r>
            <w:r w:rsidR="005D16AB">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TableTable"/>
              <w:jc w:val="center"/>
            </w:pPr>
            <w:r>
              <w:t>Forest</w:t>
            </w:r>
          </w:p>
        </w:tc>
        <w:tc>
          <w:tcPr>
            <w:tcW w:w="225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8D7E66" w:rsidP="00056A8F">
            <w:pPr>
              <w:pStyle w:val="BasicParagraph"/>
              <w:jc w:val="center"/>
            </w:pPr>
            <w:r>
              <w:t>12,141.83</w:t>
            </w:r>
          </w:p>
        </w:tc>
        <w:tc>
          <w:tcPr>
            <w:tcW w:w="252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BasicParagraph"/>
              <w:jc w:val="center"/>
            </w:pPr>
            <w:r>
              <w:t>12.23</w:t>
            </w:r>
            <w:r w:rsidR="005D16AB">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TableTable"/>
              <w:jc w:val="center"/>
            </w:pPr>
            <w:r>
              <w:t>Wetland</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7F353A" w:rsidP="00056A8F">
            <w:pPr>
              <w:pStyle w:val="BasicParagraph"/>
              <w:jc w:val="center"/>
            </w:pPr>
            <w:r>
              <w:t>6,028.26</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F6053C" w:rsidP="00056A8F">
            <w:pPr>
              <w:pStyle w:val="BasicParagraph"/>
              <w:jc w:val="center"/>
            </w:pPr>
            <w:r>
              <w:t>5.61</w:t>
            </w:r>
            <w:r w:rsidR="005D16AB">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TableTable"/>
              <w:jc w:val="center"/>
            </w:pPr>
            <w:r>
              <w:t>Grassland</w:t>
            </w:r>
          </w:p>
        </w:tc>
        <w:tc>
          <w:tcPr>
            <w:tcW w:w="225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7F353A" w:rsidP="00056A8F">
            <w:pPr>
              <w:pStyle w:val="BasicParagraph"/>
              <w:jc w:val="center"/>
            </w:pPr>
            <w:r>
              <w:t>795.17</w:t>
            </w:r>
          </w:p>
        </w:tc>
        <w:tc>
          <w:tcPr>
            <w:tcW w:w="252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F6053C" w:rsidP="00056A8F">
            <w:pPr>
              <w:pStyle w:val="BasicParagraph"/>
              <w:jc w:val="center"/>
            </w:pPr>
            <w:r>
              <w:t>0.74</w:t>
            </w:r>
            <w:r w:rsidR="005D16AB">
              <w:t>%</w:t>
            </w:r>
          </w:p>
        </w:tc>
      </w:tr>
      <w:tr w:rsidR="005D16AB" w:rsidTr="00056A8F">
        <w:trPr>
          <w:trHeight w:val="340"/>
        </w:trPr>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5D16AB" w:rsidP="00056A8F">
            <w:pPr>
              <w:pStyle w:val="TableTable"/>
              <w:jc w:val="center"/>
            </w:pPr>
            <w:r>
              <w:t>Barren</w:t>
            </w:r>
          </w:p>
        </w:tc>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7F353A" w:rsidP="00056A8F">
            <w:pPr>
              <w:pStyle w:val="BasicParagraph"/>
              <w:jc w:val="center"/>
            </w:pPr>
            <w:r>
              <w:t>193.42</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D16AB" w:rsidRDefault="005D16AB" w:rsidP="00056A8F">
            <w:pPr>
              <w:pStyle w:val="BasicParagraph"/>
              <w:jc w:val="center"/>
            </w:pPr>
            <w:r>
              <w:t>0.1</w:t>
            </w:r>
            <w:r w:rsidR="00F6053C">
              <w:t>8</w:t>
            </w:r>
            <w:r>
              <w:t>%</w:t>
            </w:r>
          </w:p>
        </w:tc>
      </w:tr>
      <w:tr w:rsidR="005D16AB" w:rsidTr="00056A8F">
        <w:trPr>
          <w:trHeight w:val="60"/>
        </w:trPr>
        <w:tc>
          <w:tcPr>
            <w:tcW w:w="216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5D16AB" w:rsidP="00056A8F">
            <w:pPr>
              <w:pStyle w:val="TableTable"/>
              <w:jc w:val="center"/>
            </w:pPr>
            <w:r>
              <w:t>Total Acres in Watershed</w:t>
            </w:r>
          </w:p>
        </w:tc>
        <w:tc>
          <w:tcPr>
            <w:tcW w:w="225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8D7E66" w:rsidP="00056A8F">
            <w:pPr>
              <w:pStyle w:val="BasicParagraph"/>
              <w:jc w:val="center"/>
            </w:pPr>
            <w:r>
              <w:t>107,455.70</w:t>
            </w:r>
          </w:p>
        </w:tc>
        <w:tc>
          <w:tcPr>
            <w:tcW w:w="2520" w:type="dxa"/>
            <w:tcBorders>
              <w:top w:val="single" w:sz="8" w:space="0" w:color="000000"/>
              <w:left w:val="single" w:sz="8" w:space="0" w:color="000000"/>
              <w:bottom w:val="single" w:sz="8" w:space="0" w:color="000000"/>
              <w:right w:val="single" w:sz="8" w:space="0" w:color="000000"/>
            </w:tcBorders>
            <w:shd w:val="solid" w:color="DEE2F1" w:fill="auto"/>
            <w:tcMar>
              <w:top w:w="80" w:type="dxa"/>
              <w:left w:w="80" w:type="dxa"/>
              <w:bottom w:w="80" w:type="dxa"/>
              <w:right w:w="80" w:type="dxa"/>
            </w:tcMar>
          </w:tcPr>
          <w:p w:rsidR="005D16AB" w:rsidRDefault="005D16AB" w:rsidP="00056A8F">
            <w:pPr>
              <w:pStyle w:val="NoParagraphStyle"/>
              <w:spacing w:line="240" w:lineRule="auto"/>
              <w:jc w:val="center"/>
              <w:textAlignment w:val="auto"/>
              <w:rPr>
                <w:color w:val="auto"/>
              </w:rPr>
            </w:pPr>
          </w:p>
        </w:tc>
      </w:tr>
    </w:tbl>
    <w:p w:rsidR="005D16AB" w:rsidRDefault="005D16AB" w:rsidP="00EE4E19">
      <w:pPr>
        <w:rPr>
          <w:rFonts w:ascii="Times New Roman" w:hAnsi="Times New Roman" w:cs="Times New Roman"/>
          <w:b/>
          <w:sz w:val="24"/>
        </w:rPr>
      </w:pPr>
    </w:p>
    <w:p w:rsidR="00425E72" w:rsidRDefault="00425E72" w:rsidP="00EE4E19">
      <w:pPr>
        <w:rPr>
          <w:rFonts w:ascii="Times New Roman" w:hAnsi="Times New Roman" w:cs="Times New Roman"/>
          <w:b/>
          <w:sz w:val="24"/>
          <w:u w:val="single"/>
        </w:rPr>
      </w:pPr>
      <w:r>
        <w:rPr>
          <w:rFonts w:ascii="Times New Roman" w:hAnsi="Times New Roman" w:cs="Times New Roman"/>
          <w:b/>
          <w:sz w:val="24"/>
          <w:u w:val="single"/>
        </w:rPr>
        <w:t>Hydrology</w:t>
      </w:r>
    </w:p>
    <w:p w:rsidR="00425E72" w:rsidRPr="00073A3D" w:rsidRDefault="00073A3D" w:rsidP="00EE4E19">
      <w:pPr>
        <w:rPr>
          <w:rFonts w:ascii="Myriad Pro" w:hAnsi="Myriad Pro" w:cs="Times New Roman"/>
          <w:b/>
          <w:sz w:val="20"/>
          <w:szCs w:val="20"/>
          <w:u w:val="single"/>
        </w:rPr>
      </w:pPr>
      <w:r w:rsidRPr="00073A3D">
        <w:rPr>
          <w:rFonts w:ascii="Myriad Pro" w:hAnsi="Myriad Pro" w:cs="Tahoma"/>
          <w:color w:val="000000"/>
          <w:sz w:val="20"/>
          <w:szCs w:val="20"/>
        </w:rPr>
        <w:t xml:space="preserve">Nearly 15 percent of all perennial stream miles in this watershed are significantly modified to the extent they have limited ability to sustain diverse biological communities. Many of these streams were straightened, enclosed or lined with concrete to facilitate water movement downstream to alleviate flooding concerns. </w:t>
      </w:r>
      <w:bookmarkStart w:id="0" w:name="_GoBack"/>
      <w:bookmarkEnd w:id="0"/>
      <w:proofErr w:type="gramStart"/>
      <w:r w:rsidRPr="00073A3D">
        <w:rPr>
          <w:rFonts w:ascii="Myriad Pro" w:hAnsi="Myriad Pro" w:cs="Tahoma"/>
          <w:color w:val="000000"/>
          <w:sz w:val="20"/>
          <w:szCs w:val="20"/>
        </w:rPr>
        <w:t>This method to control flooding, while popular 35 years ago is now considered somewhat ineffective.</w:t>
      </w:r>
      <w:proofErr w:type="gramEnd"/>
      <w:r w:rsidRPr="00073A3D">
        <w:rPr>
          <w:rFonts w:ascii="Myriad Pro" w:hAnsi="Myriad Pro" w:cs="Tahoma"/>
          <w:color w:val="000000"/>
          <w:sz w:val="20"/>
          <w:szCs w:val="20"/>
        </w:rPr>
        <w:t xml:space="preserve"> From a water quality and biological standpoint this type of river modification causes wide fluctuations in water levels over short periods of time, increases channel scour, and provides little to no habitat for aquatic life. Establishing a meandering stream helps create more diverse habitat for biological activities. The Milwaukee Metropolitan Sewerage District (MMSD) is implementing major flood water storage and where possible, river restoration activities in Lincoln Creek, </w:t>
      </w:r>
      <w:proofErr w:type="spellStart"/>
      <w:r w:rsidRPr="00073A3D">
        <w:rPr>
          <w:rFonts w:ascii="Myriad Pro" w:hAnsi="Myriad Pro" w:cs="Tahoma"/>
          <w:color w:val="000000"/>
          <w:sz w:val="20"/>
          <w:szCs w:val="20"/>
        </w:rPr>
        <w:t>Southbranch</w:t>
      </w:r>
      <w:proofErr w:type="spellEnd"/>
      <w:r w:rsidRPr="00073A3D">
        <w:rPr>
          <w:rFonts w:ascii="Myriad Pro" w:hAnsi="Myriad Pro" w:cs="Tahoma"/>
          <w:color w:val="000000"/>
          <w:sz w:val="20"/>
          <w:szCs w:val="20"/>
        </w:rPr>
        <w:t xml:space="preserve"> Creek and Indian Creek and other area watersheds.</w:t>
      </w:r>
    </w:p>
    <w:p w:rsidR="00425E72" w:rsidRDefault="00425E72" w:rsidP="00EE4E19">
      <w:pPr>
        <w:rPr>
          <w:rFonts w:ascii="Times New Roman" w:hAnsi="Times New Roman" w:cs="Times New Roman"/>
          <w:b/>
          <w:sz w:val="24"/>
          <w:u w:val="single"/>
        </w:rPr>
      </w:pPr>
      <w:r>
        <w:rPr>
          <w:rFonts w:ascii="Times New Roman" w:hAnsi="Times New Roman" w:cs="Times New Roman"/>
          <w:b/>
          <w:sz w:val="24"/>
          <w:u w:val="single"/>
        </w:rPr>
        <w:t>Ecological Landscapes</w:t>
      </w:r>
    </w:p>
    <w:p w:rsidR="009C49FC" w:rsidRDefault="00EC6641" w:rsidP="00EE4E19">
      <w:pPr>
        <w:rPr>
          <w:rFonts w:ascii="Myriad Pro" w:hAnsi="Myriad Pro" w:cs="Tahoma"/>
          <w:color w:val="000000"/>
          <w:sz w:val="20"/>
          <w:szCs w:val="20"/>
        </w:rPr>
      </w:pPr>
      <w:r w:rsidRPr="00EC6641">
        <w:rPr>
          <w:rFonts w:ascii="Myriad Pro" w:hAnsi="Myriad Pro" w:cs="Tahoma"/>
          <w:color w:val="000000"/>
          <w:sz w:val="20"/>
          <w:szCs w:val="20"/>
        </w:rPr>
        <w:t xml:space="preserve">The Milwaukee River South Watershed is located in two ecological landscapes: the Southern Lake Michigan Coastal Ecological Landscape and the Central Lake Michigan Coast Ecological Landscape. </w:t>
      </w:r>
    </w:p>
    <w:p w:rsidR="009C49FC" w:rsidRDefault="00EC6641" w:rsidP="00EE4E19">
      <w:pPr>
        <w:rPr>
          <w:rFonts w:ascii="Myriad Pro" w:hAnsi="Myriad Pro" w:cs="Tahoma"/>
          <w:color w:val="000000"/>
          <w:sz w:val="20"/>
          <w:szCs w:val="20"/>
        </w:rPr>
      </w:pPr>
      <w:r w:rsidRPr="00EC6641">
        <w:rPr>
          <w:rFonts w:ascii="Myriad Pro" w:hAnsi="Myriad Pro" w:cs="Tahoma"/>
          <w:color w:val="000000"/>
          <w:sz w:val="20"/>
          <w:szCs w:val="20"/>
        </w:rPr>
        <w:t xml:space="preserve">The Southern Lake Michigan Coastal Ecological Landscape is located in the southeastern corner of Wisconsin along Lake Michigan. The landforms in this Ecological Landscape are characteristic of glacial lake influence, with ridge and swale topography, clay bluffs, and lake plain along Lake Michigan. Further inland, ground moraine is the dominant landform. Soils typically have a silt-loam surface overlying loamy and clayey tills. </w:t>
      </w:r>
    </w:p>
    <w:p w:rsidR="00425E72" w:rsidRDefault="00EC6641" w:rsidP="00EE4E19">
      <w:pPr>
        <w:rPr>
          <w:rFonts w:ascii="Myriad Pro" w:hAnsi="Myriad Pro" w:cs="Tahoma"/>
          <w:color w:val="000000"/>
          <w:sz w:val="20"/>
          <w:szCs w:val="20"/>
        </w:rPr>
      </w:pPr>
      <w:r w:rsidRPr="00EC6641">
        <w:rPr>
          <w:rFonts w:ascii="Myriad Pro" w:hAnsi="Myriad Pro" w:cs="Tahoma"/>
          <w:color w:val="000000"/>
          <w:sz w:val="20"/>
          <w:szCs w:val="20"/>
        </w:rPr>
        <w:t>The historic vegetation in the northern part of this Ecological Landscape was dominated by sugar maple-basswood-beech forests with some oak while the southern part was dominated by oak forest, oak savanna and prairies. Wet, wet-</w:t>
      </w:r>
      <w:proofErr w:type="spellStart"/>
      <w:r w:rsidRPr="00EC6641">
        <w:rPr>
          <w:rFonts w:ascii="Myriad Pro" w:hAnsi="Myriad Pro" w:cs="Tahoma"/>
          <w:color w:val="000000"/>
          <w:sz w:val="20"/>
          <w:szCs w:val="20"/>
        </w:rPr>
        <w:t>mesic</w:t>
      </w:r>
      <w:proofErr w:type="spellEnd"/>
      <w:r w:rsidRPr="00EC6641">
        <w:rPr>
          <w:rFonts w:ascii="Myriad Pro" w:hAnsi="Myriad Pro" w:cs="Tahoma"/>
          <w:color w:val="000000"/>
          <w:sz w:val="20"/>
          <w:szCs w:val="20"/>
        </w:rPr>
        <w:t xml:space="preserve">, and lake plain prairies were common in this area. Black ash and relict cedar and </w:t>
      </w:r>
      <w:r w:rsidRPr="00EC6641">
        <w:rPr>
          <w:rFonts w:ascii="Myriad Pro" w:hAnsi="Myriad Pro" w:cs="Tahoma"/>
          <w:color w:val="000000"/>
          <w:sz w:val="20"/>
          <w:szCs w:val="20"/>
        </w:rPr>
        <w:lastRenderedPageBreak/>
        <w:t>tamarack swamps were found in this Ecological Landscape. Today, most of the area is dominated by dairy and cash grain agriculture and intense urban development. Only about 8% of the Ecological Landscape is forested. Maple-beech forests are about half of the remaining forest types with the remainder split equally between oak-hickory and lowland hardwood forest types. There are some areas of wet-</w:t>
      </w:r>
      <w:proofErr w:type="spellStart"/>
      <w:r w:rsidRPr="00EC6641">
        <w:rPr>
          <w:rFonts w:ascii="Myriad Pro" w:hAnsi="Myriad Pro" w:cs="Tahoma"/>
          <w:color w:val="000000"/>
          <w:sz w:val="20"/>
          <w:szCs w:val="20"/>
        </w:rPr>
        <w:t>mesic</w:t>
      </w:r>
      <w:proofErr w:type="spellEnd"/>
      <w:r w:rsidRPr="00EC6641">
        <w:rPr>
          <w:rFonts w:ascii="Myriad Pro" w:hAnsi="Myriad Pro" w:cs="Tahoma"/>
          <w:color w:val="000000"/>
          <w:sz w:val="20"/>
          <w:szCs w:val="20"/>
        </w:rPr>
        <w:t xml:space="preserve"> and wet prairie but only small preserves remain since the landscape is heavily disturbed and fragmented. Because of this isolation, fragmentation, and high level of disturbance, non-native plants are abundant.</w:t>
      </w:r>
    </w:p>
    <w:p w:rsidR="00020F13" w:rsidRPr="00EC6641" w:rsidRDefault="00020F13" w:rsidP="00020F13">
      <w:pPr>
        <w:jc w:val="center"/>
        <w:rPr>
          <w:rFonts w:ascii="Myriad Pro" w:hAnsi="Myriad Pro" w:cs="Times New Roman"/>
          <w:sz w:val="20"/>
          <w:szCs w:val="20"/>
        </w:rPr>
      </w:pPr>
      <w:r>
        <w:rPr>
          <w:rFonts w:ascii="Myriad Pro" w:hAnsi="Myriad Pro" w:cs="Times New Roman"/>
          <w:noProof/>
          <w:sz w:val="20"/>
          <w:szCs w:val="20"/>
        </w:rPr>
        <w:drawing>
          <wp:inline distT="0" distB="0" distL="0" distR="0">
            <wp:extent cx="2743206" cy="3657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02_Ecological_Landscapes.png"/>
                    <pic:cNvPicPr/>
                  </pic:nvPicPr>
                  <pic:blipFill>
                    <a:blip r:embed="rId7">
                      <a:extLst>
                        <a:ext uri="{28A0092B-C50C-407E-A947-70E740481C1C}">
                          <a14:useLocalDpi xmlns:a14="http://schemas.microsoft.com/office/drawing/2010/main" val="0"/>
                        </a:ext>
                      </a:extLst>
                    </a:blip>
                    <a:stretch>
                      <a:fillRect/>
                    </a:stretch>
                  </pic:blipFill>
                  <pic:spPr>
                    <a:xfrm>
                      <a:off x="0" y="0"/>
                      <a:ext cx="2743206" cy="3657608"/>
                    </a:xfrm>
                    <a:prstGeom prst="rect">
                      <a:avLst/>
                    </a:prstGeom>
                  </pic:spPr>
                </pic:pic>
              </a:graphicData>
            </a:graphic>
          </wp:inline>
        </w:drawing>
      </w:r>
    </w:p>
    <w:p w:rsidR="00EC6641" w:rsidRDefault="00EC6641" w:rsidP="00EE4E19">
      <w:pPr>
        <w:rPr>
          <w:rFonts w:ascii="Times New Roman" w:hAnsi="Times New Roman" w:cs="Times New Roman"/>
          <w:b/>
          <w:sz w:val="24"/>
          <w:u w:val="single"/>
        </w:rPr>
      </w:pPr>
    </w:p>
    <w:p w:rsidR="00425E72" w:rsidRDefault="00425E72" w:rsidP="00EE4E19">
      <w:pPr>
        <w:rPr>
          <w:rFonts w:ascii="Times New Roman" w:hAnsi="Times New Roman" w:cs="Times New Roman"/>
          <w:b/>
          <w:sz w:val="24"/>
          <w:u w:val="single"/>
        </w:rPr>
      </w:pPr>
      <w:r>
        <w:rPr>
          <w:rFonts w:ascii="Times New Roman" w:hAnsi="Times New Roman" w:cs="Times New Roman"/>
          <w:b/>
          <w:sz w:val="24"/>
          <w:u w:val="single"/>
        </w:rPr>
        <w:t>Historical Note</w:t>
      </w:r>
    </w:p>
    <w:p w:rsidR="002C247C" w:rsidRDefault="00BB2A03" w:rsidP="00EE4E19">
      <w:pPr>
        <w:rPr>
          <w:rFonts w:ascii="Myriad Pro" w:hAnsi="Myriad Pro" w:cs="Tahoma"/>
          <w:color w:val="000000"/>
          <w:sz w:val="20"/>
          <w:szCs w:val="20"/>
        </w:rPr>
      </w:pPr>
      <w:r w:rsidRPr="00BB2A03">
        <w:rPr>
          <w:rFonts w:ascii="Myriad Pro" w:hAnsi="Myriad Pro" w:cs="Tahoma"/>
          <w:color w:val="000000"/>
          <w:sz w:val="20"/>
          <w:szCs w:val="20"/>
        </w:rPr>
        <w:t xml:space="preserve">The hamlet of </w:t>
      </w:r>
      <w:proofErr w:type="spellStart"/>
      <w:r w:rsidRPr="00BB2A03">
        <w:rPr>
          <w:rFonts w:ascii="Myriad Pro" w:hAnsi="Myriad Pro" w:cs="Tahoma"/>
          <w:color w:val="000000"/>
          <w:sz w:val="20"/>
          <w:szCs w:val="20"/>
        </w:rPr>
        <w:t>Waubeka</w:t>
      </w:r>
      <w:proofErr w:type="spellEnd"/>
      <w:r w:rsidRPr="00BB2A03">
        <w:rPr>
          <w:rFonts w:ascii="Myriad Pro" w:hAnsi="Myriad Pro" w:cs="Tahoma"/>
          <w:color w:val="000000"/>
          <w:sz w:val="20"/>
          <w:szCs w:val="20"/>
        </w:rPr>
        <w:t xml:space="preserve">, just outside of the Village of Fredonia in Ozaukee County, is located in the northern part of the Milwaukee River South Watershed. </w:t>
      </w:r>
      <w:proofErr w:type="spellStart"/>
      <w:r w:rsidRPr="00BB2A03">
        <w:rPr>
          <w:rFonts w:ascii="Myriad Pro" w:hAnsi="Myriad Pro" w:cs="Tahoma"/>
          <w:color w:val="000000"/>
          <w:sz w:val="20"/>
          <w:szCs w:val="20"/>
        </w:rPr>
        <w:t>Waubeka</w:t>
      </w:r>
      <w:proofErr w:type="spellEnd"/>
      <w:r w:rsidRPr="00BB2A03">
        <w:rPr>
          <w:rFonts w:ascii="Myriad Pro" w:hAnsi="Myriad Pro" w:cs="Tahoma"/>
          <w:color w:val="000000"/>
          <w:sz w:val="20"/>
          <w:szCs w:val="20"/>
        </w:rPr>
        <w:t xml:space="preserve"> is known as the birthplace of Flag Day. In 1885, Stony Hill School teacher Bernard John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xml:space="preserve"> displayed a 10-inch flag in an inkwell and had his students write essays on what the flag meant to them. He told the students that June 14th was the birthday of the flag. The school is now considered a historic site. </w:t>
      </w:r>
    </w:p>
    <w:p w:rsidR="002C247C" w:rsidRDefault="00BB2A03" w:rsidP="00EE4E19">
      <w:pPr>
        <w:rPr>
          <w:rFonts w:ascii="Myriad Pro" w:hAnsi="Myriad Pro" w:cs="Tahoma"/>
          <w:color w:val="000000"/>
          <w:sz w:val="20"/>
          <w:szCs w:val="20"/>
        </w:rPr>
      </w:pPr>
      <w:r w:rsidRPr="00BB2A03">
        <w:rPr>
          <w:rFonts w:ascii="Myriad Pro" w:hAnsi="Myriad Pro" w:cs="Tahoma"/>
          <w:color w:val="000000"/>
          <w:sz w:val="20"/>
          <w:szCs w:val="20"/>
        </w:rPr>
        <w:t xml:space="preserve">Bernard J.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xml:space="preserve"> was born on Yankee Hill in </w:t>
      </w:r>
      <w:proofErr w:type="spellStart"/>
      <w:r w:rsidRPr="00BB2A03">
        <w:rPr>
          <w:rFonts w:ascii="Myriad Pro" w:hAnsi="Myriad Pro" w:cs="Tahoma"/>
          <w:color w:val="000000"/>
          <w:sz w:val="20"/>
          <w:szCs w:val="20"/>
        </w:rPr>
        <w:t>Waubeka</w:t>
      </w:r>
      <w:proofErr w:type="spellEnd"/>
      <w:r w:rsidRPr="00BB2A03">
        <w:rPr>
          <w:rFonts w:ascii="Myriad Pro" w:hAnsi="Myriad Pro" w:cs="Tahoma"/>
          <w:color w:val="000000"/>
          <w:sz w:val="20"/>
          <w:szCs w:val="20"/>
        </w:rPr>
        <w:t xml:space="preserve">, Wisconsin on October 1, 1866. He was the youngest of six children of Nicholas and Susan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who had settled and married here a decade earlier after emigrating from Luxembourg in Northwestern Europe.</w:t>
      </w:r>
    </w:p>
    <w:p w:rsidR="002C247C" w:rsidRDefault="00BB2A03" w:rsidP="00EE4E19">
      <w:pPr>
        <w:rPr>
          <w:rFonts w:ascii="Myriad Pro" w:hAnsi="Myriad Pro" w:cs="Tahoma"/>
          <w:color w:val="000000"/>
          <w:sz w:val="20"/>
          <w:szCs w:val="20"/>
        </w:rPr>
      </w:pPr>
      <w:r w:rsidRPr="00BB2A03">
        <w:rPr>
          <w:rFonts w:ascii="Myriad Pro" w:hAnsi="Myriad Pro" w:cs="Tahoma"/>
          <w:color w:val="000000"/>
          <w:sz w:val="20"/>
          <w:szCs w:val="20"/>
        </w:rPr>
        <w:t xml:space="preserve">As a youth, young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xml:space="preserve"> sold scrap iron and rags to buy books. At 12 he worked as a sales agent for the U. S. Book and Bible Club earning 25 cents for each book he sold. He was a conductor on a steam barge on the Milwaukee River in the </w:t>
      </w:r>
      <w:proofErr w:type="spellStart"/>
      <w:r w:rsidRPr="00BB2A03">
        <w:rPr>
          <w:rFonts w:ascii="Myriad Pro" w:hAnsi="Myriad Pro" w:cs="Tahoma"/>
          <w:color w:val="000000"/>
          <w:sz w:val="20"/>
          <w:szCs w:val="20"/>
        </w:rPr>
        <w:t>Waubeka</w:t>
      </w:r>
      <w:proofErr w:type="spellEnd"/>
      <w:r w:rsidRPr="00BB2A03">
        <w:rPr>
          <w:rFonts w:ascii="Myriad Pro" w:hAnsi="Myriad Pro" w:cs="Tahoma"/>
          <w:color w:val="000000"/>
          <w:sz w:val="20"/>
          <w:szCs w:val="20"/>
        </w:rPr>
        <w:t xml:space="preserve"> area. Inspired by his father, young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xml:space="preserve"> displayed an early interest in American history. He was a devout patriot with a great love of the flag of our nation.</w:t>
      </w:r>
      <w:r w:rsidR="00883822">
        <w:rPr>
          <w:rFonts w:ascii="Myriad Pro" w:hAnsi="Myriad Pro" w:cs="Tahoma"/>
          <w:color w:val="000000"/>
          <w:sz w:val="20"/>
          <w:szCs w:val="20"/>
        </w:rPr>
        <w:t xml:space="preserve"> </w:t>
      </w:r>
      <w:r w:rsidRPr="00BB2A03">
        <w:rPr>
          <w:rFonts w:ascii="Myriad Pro" w:hAnsi="Myriad Pro" w:cs="Tahoma"/>
          <w:color w:val="000000"/>
          <w:sz w:val="20"/>
          <w:szCs w:val="20"/>
        </w:rPr>
        <w:t xml:space="preserve"> </w:t>
      </w:r>
    </w:p>
    <w:p w:rsidR="002C247C" w:rsidRDefault="00BB2A03" w:rsidP="00EE4E19">
      <w:pPr>
        <w:rPr>
          <w:rFonts w:ascii="Myriad Pro" w:hAnsi="Myriad Pro" w:cs="Tahoma"/>
          <w:color w:val="000000"/>
          <w:sz w:val="20"/>
          <w:szCs w:val="20"/>
        </w:rPr>
      </w:pPr>
      <w:proofErr w:type="spellStart"/>
      <w:r w:rsidRPr="00BB2A03">
        <w:rPr>
          <w:rFonts w:ascii="Myriad Pro" w:hAnsi="Myriad Pro" w:cs="Tahoma"/>
          <w:color w:val="000000"/>
          <w:sz w:val="20"/>
          <w:szCs w:val="20"/>
        </w:rPr>
        <w:lastRenderedPageBreak/>
        <w:t>Cigrand</w:t>
      </w:r>
      <w:proofErr w:type="spellEnd"/>
      <w:r w:rsidRPr="00BB2A03">
        <w:rPr>
          <w:rFonts w:ascii="Myriad Pro" w:hAnsi="Myriad Pro" w:cs="Tahoma"/>
          <w:color w:val="000000"/>
          <w:sz w:val="20"/>
          <w:szCs w:val="20"/>
        </w:rPr>
        <w:t xml:space="preserve"> earned $40 each month teaching school at Stony </w:t>
      </w:r>
      <w:proofErr w:type="gramStart"/>
      <w:r w:rsidRPr="00BB2A03">
        <w:rPr>
          <w:rFonts w:ascii="Myriad Pro" w:hAnsi="Myriad Pro" w:cs="Tahoma"/>
          <w:color w:val="000000"/>
          <w:sz w:val="20"/>
          <w:szCs w:val="20"/>
        </w:rPr>
        <w:t>Hill,</w:t>
      </w:r>
      <w:proofErr w:type="gramEnd"/>
      <w:r w:rsidRPr="00BB2A03">
        <w:rPr>
          <w:rFonts w:ascii="Myriad Pro" w:hAnsi="Myriad Pro" w:cs="Tahoma"/>
          <w:color w:val="000000"/>
          <w:sz w:val="20"/>
          <w:szCs w:val="20"/>
        </w:rPr>
        <w:t xml:space="preserve"> and with income from selling books was able to pay his way through dental school. In June 1886, he made his first public proposal for the annual observance of the birth of the flag when he wrote an article titled "The Fourteenth of June" in the old Ch</w:t>
      </w:r>
      <w:r w:rsidR="00883822">
        <w:rPr>
          <w:rFonts w:ascii="Myriad Pro" w:hAnsi="Myriad Pro" w:cs="Tahoma"/>
          <w:color w:val="000000"/>
          <w:sz w:val="20"/>
          <w:szCs w:val="20"/>
        </w:rPr>
        <w:t xml:space="preserve">icago Argus newspaper. In 1888, </w:t>
      </w:r>
      <w:proofErr w:type="spellStart"/>
      <w:r w:rsidRPr="00BB2A03">
        <w:rPr>
          <w:rFonts w:ascii="Myriad Pro" w:hAnsi="Myriad Pro" w:cs="Tahoma"/>
          <w:color w:val="000000"/>
          <w:sz w:val="20"/>
          <w:szCs w:val="20"/>
        </w:rPr>
        <w:t>Cigrand</w:t>
      </w:r>
      <w:proofErr w:type="spellEnd"/>
      <w:r w:rsidRPr="00BB2A03">
        <w:rPr>
          <w:rFonts w:ascii="Myriad Pro" w:hAnsi="Myriad Pro" w:cs="Tahoma"/>
          <w:color w:val="000000"/>
          <w:sz w:val="20"/>
          <w:szCs w:val="20"/>
        </w:rPr>
        <w:t xml:space="preserve"> graduated first in his class from Lake For</w:t>
      </w:r>
      <w:r w:rsidR="00433D7C">
        <w:rPr>
          <w:rFonts w:ascii="Myriad Pro" w:hAnsi="Myriad Pro" w:cs="Tahoma"/>
          <w:color w:val="000000"/>
          <w:sz w:val="20"/>
          <w:szCs w:val="20"/>
        </w:rPr>
        <w:t>est College of Dentistry. I</w:t>
      </w:r>
      <w:r w:rsidRPr="00BB2A03">
        <w:rPr>
          <w:rFonts w:ascii="Myriad Pro" w:hAnsi="Myriad Pro" w:cs="Tahoma"/>
          <w:color w:val="000000"/>
          <w:sz w:val="20"/>
          <w:szCs w:val="20"/>
        </w:rPr>
        <w:t xml:space="preserve">n the years that followed, he authored hundreds of other magazine and newspaper articles advocating recognition of the June 14th adoption of the Stars and Stripes. </w:t>
      </w:r>
    </w:p>
    <w:p w:rsidR="007E2E5C" w:rsidRPr="00BB2A03" w:rsidRDefault="00BB2A03" w:rsidP="00EE4E19">
      <w:pPr>
        <w:rPr>
          <w:rFonts w:ascii="Myriad Pro" w:hAnsi="Myriad Pro" w:cs="Times New Roman"/>
          <w:b/>
          <w:sz w:val="20"/>
          <w:szCs w:val="20"/>
          <w:u w:val="single"/>
        </w:rPr>
      </w:pPr>
      <w:r w:rsidRPr="00BB2A03">
        <w:rPr>
          <w:rFonts w:ascii="Myriad Pro" w:hAnsi="Myriad Pro" w:cs="Tahoma"/>
          <w:color w:val="000000"/>
          <w:sz w:val="20"/>
          <w:szCs w:val="20"/>
        </w:rPr>
        <w:t>By 1916, flag ceremonies on June 14 had become so prevalent that President Woodrow Wilson issued a proclamation establishing Flag Day as an annual national event. In 1949, President Harry S. Truman signed legislation to designate June 14th as Flag Day.</w:t>
      </w:r>
    </w:p>
    <w:p w:rsidR="00020F13" w:rsidRDefault="00020F13" w:rsidP="00EE4E19">
      <w:pPr>
        <w:rPr>
          <w:rFonts w:ascii="Times New Roman" w:hAnsi="Times New Roman" w:cs="Times New Roman"/>
          <w:b/>
          <w:sz w:val="24"/>
          <w:u w:val="single"/>
        </w:rPr>
      </w:pPr>
    </w:p>
    <w:tbl>
      <w:tblPr>
        <w:tblStyle w:val="TableGrid"/>
        <w:tblW w:w="0" w:type="auto"/>
        <w:tblLook w:val="04A0" w:firstRow="1" w:lastRow="0" w:firstColumn="1" w:lastColumn="0" w:noHBand="0" w:noVBand="1"/>
      </w:tblPr>
      <w:tblGrid>
        <w:gridCol w:w="9576"/>
      </w:tblGrid>
      <w:tr w:rsidR="007E2E5C" w:rsidTr="007E2E5C">
        <w:tc>
          <w:tcPr>
            <w:tcW w:w="9576" w:type="dxa"/>
            <w:shd w:val="clear" w:color="auto" w:fill="E5DFEC" w:themeFill="accent4" w:themeFillTint="33"/>
          </w:tcPr>
          <w:p w:rsidR="007E2E5C" w:rsidRPr="007E2E5C" w:rsidRDefault="007E2E5C" w:rsidP="007E2E5C">
            <w:pPr>
              <w:jc w:val="center"/>
              <w:rPr>
                <w:rFonts w:ascii="Times New Roman" w:hAnsi="Times New Roman" w:cs="Times New Roman"/>
                <w:b/>
                <w:sz w:val="24"/>
              </w:rPr>
            </w:pPr>
            <w:r>
              <w:rPr>
                <w:rFonts w:ascii="Times New Roman" w:hAnsi="Times New Roman" w:cs="Times New Roman"/>
                <w:b/>
                <w:sz w:val="24"/>
              </w:rPr>
              <w:t>Watershed Conditions</w:t>
            </w:r>
          </w:p>
        </w:tc>
      </w:tr>
    </w:tbl>
    <w:p w:rsidR="007E2E5C" w:rsidRDefault="007E2E5C" w:rsidP="00EE4E19">
      <w:pPr>
        <w:rPr>
          <w:rFonts w:ascii="Times New Roman" w:hAnsi="Times New Roman" w:cs="Times New Roman"/>
          <w:b/>
          <w:sz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Overall Condition</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River and Stream Condition</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Lake Health</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Wetland Health</w:t>
      </w:r>
    </w:p>
    <w:p w:rsidR="007E2E5C" w:rsidRDefault="007E2E5C" w:rsidP="007E2E5C">
      <w:pPr>
        <w:pStyle w:val="ListParagraph"/>
        <w:numPr>
          <w:ilvl w:val="0"/>
          <w:numId w:val="1"/>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Wetland Status</w:t>
      </w:r>
    </w:p>
    <w:p w:rsidR="007E2E5C" w:rsidRDefault="007E2E5C" w:rsidP="007E2E5C">
      <w:pPr>
        <w:pStyle w:val="ListParagraph"/>
        <w:numPr>
          <w:ilvl w:val="0"/>
          <w:numId w:val="1"/>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Wetland Condition</w:t>
      </w:r>
    </w:p>
    <w:p w:rsidR="007E2E5C" w:rsidRDefault="007E2E5C" w:rsidP="007E2E5C">
      <w:pPr>
        <w:pStyle w:val="ListParagraph"/>
        <w:numPr>
          <w:ilvl w:val="0"/>
          <w:numId w:val="1"/>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Wetland Restorability</w:t>
      </w:r>
    </w:p>
    <w:p w:rsidR="007E2E5C" w:rsidRDefault="007E2E5C" w:rsidP="007E2E5C">
      <w:pPr>
        <w:autoSpaceDE w:val="0"/>
        <w:autoSpaceDN w:val="0"/>
        <w:adjustRightInd w:val="0"/>
        <w:spacing w:after="115" w:line="288" w:lineRule="auto"/>
        <w:textAlignment w:val="center"/>
        <w:rPr>
          <w:rFonts w:ascii="Times New Roman" w:hAnsi="Times New Roman" w:cs="Times New Roman"/>
          <w:color w:val="000000"/>
          <w:spacing w:val="2"/>
          <w:sz w:val="24"/>
          <w:szCs w:val="24"/>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Groundwater</w:t>
      </w:r>
    </w:p>
    <w:p w:rsidR="007E2E5C" w:rsidRDefault="007E2E5C" w:rsidP="007E2E5C">
      <w:pPr>
        <w:pStyle w:val="ListParagraph"/>
        <w:numPr>
          <w:ilvl w:val="0"/>
          <w:numId w:val="2"/>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Private Wells</w:t>
      </w:r>
    </w:p>
    <w:p w:rsidR="007E2E5C" w:rsidRDefault="007E2E5C" w:rsidP="007E2E5C">
      <w:pPr>
        <w:pStyle w:val="ListParagraph"/>
        <w:numPr>
          <w:ilvl w:val="0"/>
          <w:numId w:val="2"/>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Potential Sources of Contamination</w:t>
      </w:r>
    </w:p>
    <w:p w:rsidR="007E2E5C" w:rsidRDefault="007E2E5C" w:rsidP="00EE4E19">
      <w:pPr>
        <w:rPr>
          <w:rFonts w:ascii="Times New Roman" w:hAnsi="Times New Roman" w:cs="Times New Roman"/>
          <w:b/>
          <w:sz w:val="24"/>
          <w:u w:val="single"/>
        </w:rPr>
      </w:pPr>
    </w:p>
    <w:p w:rsidR="007E2E5C" w:rsidRDefault="007E2E5C" w:rsidP="00EE4E19">
      <w:pPr>
        <w:rPr>
          <w:rFonts w:ascii="Times New Roman" w:hAnsi="Times New Roman" w:cs="Times New Roman"/>
          <w:b/>
          <w:sz w:val="24"/>
          <w:u w:val="single"/>
        </w:rPr>
      </w:pPr>
    </w:p>
    <w:tbl>
      <w:tblPr>
        <w:tblStyle w:val="TableGrid"/>
        <w:tblW w:w="0" w:type="auto"/>
        <w:tblLook w:val="04A0" w:firstRow="1" w:lastRow="0" w:firstColumn="1" w:lastColumn="0" w:noHBand="0" w:noVBand="1"/>
      </w:tblPr>
      <w:tblGrid>
        <w:gridCol w:w="9576"/>
      </w:tblGrid>
      <w:tr w:rsidR="007E2E5C" w:rsidTr="007E2E5C">
        <w:tc>
          <w:tcPr>
            <w:tcW w:w="9576" w:type="dxa"/>
            <w:shd w:val="clear" w:color="auto" w:fill="E5DFEC" w:themeFill="accent4" w:themeFillTint="33"/>
          </w:tcPr>
          <w:p w:rsidR="007E2E5C" w:rsidRPr="007E2E5C" w:rsidRDefault="007E2E5C" w:rsidP="007E2E5C">
            <w:pPr>
              <w:jc w:val="center"/>
              <w:rPr>
                <w:rFonts w:ascii="Times New Roman" w:hAnsi="Times New Roman" w:cs="Times New Roman"/>
                <w:b/>
                <w:sz w:val="24"/>
              </w:rPr>
            </w:pPr>
            <w:r>
              <w:rPr>
                <w:rFonts w:ascii="Times New Roman" w:hAnsi="Times New Roman" w:cs="Times New Roman"/>
                <w:b/>
                <w:sz w:val="24"/>
              </w:rPr>
              <w:t>Waters of Note</w:t>
            </w:r>
          </w:p>
        </w:tc>
      </w:tr>
    </w:tbl>
    <w:p w:rsidR="007E2E5C" w:rsidRDefault="007E2E5C" w:rsidP="00EE4E19">
      <w:pPr>
        <w:rPr>
          <w:rFonts w:ascii="Times New Roman" w:hAnsi="Times New Roman" w:cs="Times New Roman"/>
          <w:b/>
          <w:sz w:val="24"/>
          <w:u w:val="single"/>
        </w:rPr>
      </w:pPr>
    </w:p>
    <w:p w:rsidR="007E2E5C" w:rsidRDefault="007E2E5C" w:rsidP="007E2E5C">
      <w:pPr>
        <w:pStyle w:val="ListParagraph"/>
        <w:numPr>
          <w:ilvl w:val="0"/>
          <w:numId w:val="3"/>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Trout Waters</w:t>
      </w:r>
    </w:p>
    <w:p w:rsidR="007E2E5C" w:rsidRDefault="007E2E5C" w:rsidP="007E2E5C">
      <w:pPr>
        <w:pStyle w:val="ListParagraph"/>
        <w:numPr>
          <w:ilvl w:val="0"/>
          <w:numId w:val="3"/>
        </w:num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Outstanding and Exceptional Resource Waters</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lastRenderedPageBreak/>
        <w:t xml:space="preserve">Impaired Waters </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Fish Consumption</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Aquatic Invasive Species</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Species of Special Concern</w:t>
      </w:r>
    </w:p>
    <w:p w:rsidR="007E2E5C" w:rsidRDefault="007E2E5C" w:rsidP="007E2E5C">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E2E5C" w:rsidRDefault="007E2E5C" w:rsidP="007E2E5C">
      <w:pPr>
        <w:autoSpaceDE w:val="0"/>
        <w:autoSpaceDN w:val="0"/>
        <w:adjustRightInd w:val="0"/>
        <w:spacing w:after="115" w:line="288" w:lineRule="auto"/>
        <w:textAlignment w:val="center"/>
        <w:rPr>
          <w:rFonts w:ascii="Times New Roman" w:hAnsi="Times New Roman" w:cs="Times New Roman"/>
          <w:color w:val="000000"/>
          <w:spacing w:val="2"/>
          <w:sz w:val="24"/>
          <w:szCs w:val="24"/>
        </w:rPr>
      </w:pPr>
      <w:r>
        <w:rPr>
          <w:rFonts w:ascii="Times New Roman" w:hAnsi="Times New Roman" w:cs="Times New Roman"/>
          <w:b/>
          <w:color w:val="000000"/>
          <w:spacing w:val="2"/>
          <w:sz w:val="24"/>
          <w:szCs w:val="24"/>
          <w:u w:val="single"/>
        </w:rPr>
        <w:t>State Natural and Wildlife Areas</w:t>
      </w:r>
    </w:p>
    <w:p w:rsidR="007E2E5C" w:rsidRDefault="007E2E5C" w:rsidP="00EE4E19">
      <w:pPr>
        <w:rPr>
          <w:rFonts w:ascii="Times New Roman" w:hAnsi="Times New Roman" w:cs="Times New Roman"/>
          <w:b/>
          <w:sz w:val="24"/>
          <w:u w:val="single"/>
        </w:rPr>
      </w:pPr>
    </w:p>
    <w:p w:rsidR="007E2E5C" w:rsidRDefault="007E2E5C" w:rsidP="00EE4E19">
      <w:pPr>
        <w:rPr>
          <w:rFonts w:ascii="Times New Roman" w:hAnsi="Times New Roman" w:cs="Times New Roman"/>
          <w:b/>
          <w:sz w:val="24"/>
          <w:u w:val="single"/>
        </w:rPr>
      </w:pPr>
    </w:p>
    <w:tbl>
      <w:tblPr>
        <w:tblStyle w:val="TableGrid"/>
        <w:tblW w:w="0" w:type="auto"/>
        <w:tblLook w:val="04A0" w:firstRow="1" w:lastRow="0" w:firstColumn="1" w:lastColumn="0" w:noHBand="0" w:noVBand="1"/>
      </w:tblPr>
      <w:tblGrid>
        <w:gridCol w:w="9576"/>
      </w:tblGrid>
      <w:tr w:rsidR="007E2E5C" w:rsidTr="007E2E5C">
        <w:tc>
          <w:tcPr>
            <w:tcW w:w="9576" w:type="dxa"/>
            <w:shd w:val="clear" w:color="auto" w:fill="E5DFEC" w:themeFill="accent4" w:themeFillTint="33"/>
          </w:tcPr>
          <w:p w:rsidR="007E2E5C" w:rsidRPr="007E2E5C" w:rsidRDefault="007E2E5C" w:rsidP="007E2E5C">
            <w:pPr>
              <w:jc w:val="center"/>
              <w:rPr>
                <w:rFonts w:ascii="Times New Roman" w:hAnsi="Times New Roman" w:cs="Times New Roman"/>
                <w:b/>
                <w:sz w:val="24"/>
              </w:rPr>
            </w:pPr>
            <w:r>
              <w:rPr>
                <w:rFonts w:ascii="Times New Roman" w:hAnsi="Times New Roman" w:cs="Times New Roman"/>
                <w:b/>
                <w:sz w:val="24"/>
              </w:rPr>
              <w:t>Watershed Actions</w:t>
            </w:r>
          </w:p>
        </w:tc>
      </w:tr>
    </w:tbl>
    <w:p w:rsidR="007E2E5C" w:rsidRDefault="007E2E5C" w:rsidP="00EE4E19">
      <w:pPr>
        <w:rPr>
          <w:rFonts w:ascii="Times New Roman" w:hAnsi="Times New Roman" w:cs="Times New Roman"/>
          <w:b/>
          <w:sz w:val="24"/>
          <w:u w:val="single"/>
        </w:rPr>
      </w:pP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Grants and Projects</w:t>
      </w: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Monitoring</w:t>
      </w: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Basin/Watershed Partners</w:t>
      </w: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Priority Issues</w:t>
      </w: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Recommendations</w:t>
      </w:r>
    </w:p>
    <w:p w:rsidR="007D680A"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p>
    <w:p w:rsidR="007D680A" w:rsidRPr="00A85605" w:rsidRDefault="007D680A" w:rsidP="007D680A">
      <w:pPr>
        <w:autoSpaceDE w:val="0"/>
        <w:autoSpaceDN w:val="0"/>
        <w:adjustRightInd w:val="0"/>
        <w:spacing w:after="115" w:line="288" w:lineRule="auto"/>
        <w:textAlignment w:val="center"/>
        <w:rPr>
          <w:rFonts w:ascii="Times New Roman" w:hAnsi="Times New Roman" w:cs="Times New Roman"/>
          <w:b/>
          <w:color w:val="000000"/>
          <w:spacing w:val="2"/>
          <w:sz w:val="24"/>
          <w:szCs w:val="24"/>
          <w:u w:val="single"/>
        </w:rPr>
      </w:pPr>
      <w:r>
        <w:rPr>
          <w:rFonts w:ascii="Times New Roman" w:hAnsi="Times New Roman" w:cs="Times New Roman"/>
          <w:b/>
          <w:color w:val="000000"/>
          <w:spacing w:val="2"/>
          <w:sz w:val="24"/>
          <w:szCs w:val="24"/>
          <w:u w:val="single"/>
        </w:rPr>
        <w:t>Contributors</w:t>
      </w:r>
    </w:p>
    <w:p w:rsidR="007E2E5C" w:rsidRPr="00425E72" w:rsidRDefault="007E2E5C" w:rsidP="00EE4E19">
      <w:pPr>
        <w:rPr>
          <w:rFonts w:ascii="Times New Roman" w:hAnsi="Times New Roman" w:cs="Times New Roman"/>
          <w:b/>
          <w:sz w:val="24"/>
          <w:u w:val="single"/>
        </w:rPr>
      </w:pPr>
    </w:p>
    <w:sectPr w:rsidR="007E2E5C" w:rsidRPr="004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64BDC"/>
    <w:multiLevelType w:val="hybridMultilevel"/>
    <w:tmpl w:val="11DE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1274F"/>
    <w:multiLevelType w:val="hybridMultilevel"/>
    <w:tmpl w:val="72EE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408D3"/>
    <w:multiLevelType w:val="hybridMultilevel"/>
    <w:tmpl w:val="812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D16B51"/>
    <w:rsid w:val="00020F13"/>
    <w:rsid w:val="00073A3D"/>
    <w:rsid w:val="00175229"/>
    <w:rsid w:val="002C247C"/>
    <w:rsid w:val="00425E72"/>
    <w:rsid w:val="00433D7C"/>
    <w:rsid w:val="005D16AB"/>
    <w:rsid w:val="0072608E"/>
    <w:rsid w:val="007D680A"/>
    <w:rsid w:val="007E2E5C"/>
    <w:rsid w:val="007F353A"/>
    <w:rsid w:val="00883822"/>
    <w:rsid w:val="008D7E66"/>
    <w:rsid w:val="00902271"/>
    <w:rsid w:val="009C49FC"/>
    <w:rsid w:val="00B33E34"/>
    <w:rsid w:val="00BB2A03"/>
    <w:rsid w:val="00D16B51"/>
    <w:rsid w:val="00D3128A"/>
    <w:rsid w:val="00D850A7"/>
    <w:rsid w:val="00EC6641"/>
    <w:rsid w:val="00EE4E19"/>
    <w:rsid w:val="00F6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uiPriority w:val="99"/>
    <w:rsid w:val="00EE4E19"/>
    <w:pPr>
      <w:autoSpaceDE w:val="0"/>
      <w:autoSpaceDN w:val="0"/>
      <w:adjustRightInd w:val="0"/>
      <w:spacing w:after="0" w:line="240" w:lineRule="atLeast"/>
      <w:textAlignment w:val="center"/>
    </w:pPr>
    <w:rPr>
      <w:rFonts w:ascii="Adobe Garamond Pro" w:hAnsi="Adobe Garamond Pro" w:cs="Adobe Garamond Pro"/>
      <w:i/>
      <w:iCs/>
      <w:color w:val="000000"/>
      <w:spacing w:val="2"/>
      <w:sz w:val="20"/>
      <w:szCs w:val="20"/>
    </w:rPr>
  </w:style>
  <w:style w:type="table" w:styleId="TableGrid">
    <w:name w:val="Table Grid"/>
    <w:basedOn w:val="TableNormal"/>
    <w:uiPriority w:val="59"/>
    <w:rsid w:val="00175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hAnsi="Tahoma" w:cs="Tahoma"/>
      <w:sz w:val="16"/>
      <w:szCs w:val="16"/>
    </w:rPr>
  </w:style>
  <w:style w:type="paragraph" w:customStyle="1" w:styleId="NoParagraphStyle">
    <w:name w:val="[No Paragraph Style]"/>
    <w:rsid w:val="005D16AB"/>
    <w:pPr>
      <w:autoSpaceDE w:val="0"/>
      <w:autoSpaceDN w:val="0"/>
      <w:adjustRightInd w:val="0"/>
      <w:spacing w:after="0" w:line="288" w:lineRule="auto"/>
      <w:textAlignment w:val="center"/>
    </w:pPr>
    <w:rPr>
      <w:rFonts w:ascii="Myriad Pro Light" w:hAnsi="Myriad Pro Light"/>
      <w:color w:val="000000"/>
      <w:sz w:val="24"/>
      <w:szCs w:val="24"/>
    </w:rPr>
  </w:style>
  <w:style w:type="paragraph" w:styleId="Caption">
    <w:name w:val="caption"/>
    <w:basedOn w:val="NoParagraphStyle"/>
    <w:uiPriority w:val="99"/>
    <w:qFormat/>
    <w:rsid w:val="005D16AB"/>
    <w:pPr>
      <w:jc w:val="center"/>
    </w:pPr>
    <w:rPr>
      <w:rFonts w:cs="Myriad Pro Light"/>
      <w:spacing w:val="2"/>
      <w:sz w:val="16"/>
      <w:szCs w:val="16"/>
    </w:rPr>
  </w:style>
  <w:style w:type="paragraph" w:customStyle="1" w:styleId="TableHeadTable">
    <w:name w:val="Table Head (Table)"/>
    <w:basedOn w:val="NoParagraphStyle"/>
    <w:uiPriority w:val="99"/>
    <w:rsid w:val="005D16AB"/>
    <w:pPr>
      <w:spacing w:line="216" w:lineRule="atLeast"/>
      <w:jc w:val="center"/>
    </w:pPr>
    <w:rPr>
      <w:rFonts w:ascii="Arial" w:hAnsi="Arial" w:cs="Arial"/>
      <w:b/>
      <w:bCs/>
      <w:spacing w:val="2"/>
      <w:sz w:val="18"/>
      <w:szCs w:val="18"/>
    </w:rPr>
  </w:style>
  <w:style w:type="paragraph" w:customStyle="1" w:styleId="TableTable">
    <w:name w:val="Table (Table)"/>
    <w:basedOn w:val="NoParagraphStyle"/>
    <w:uiPriority w:val="99"/>
    <w:rsid w:val="005D16AB"/>
    <w:pPr>
      <w:spacing w:line="216" w:lineRule="atLeast"/>
    </w:pPr>
    <w:rPr>
      <w:rFonts w:ascii="Arial" w:hAnsi="Arial" w:cs="Arial"/>
      <w:spacing w:val="2"/>
      <w:sz w:val="18"/>
      <w:szCs w:val="18"/>
    </w:rPr>
  </w:style>
  <w:style w:type="paragraph" w:customStyle="1" w:styleId="BasicParagraph">
    <w:name w:val="[Basic Paragraph]"/>
    <w:basedOn w:val="NoParagraphStyle"/>
    <w:uiPriority w:val="99"/>
    <w:rsid w:val="005D16AB"/>
    <w:rPr>
      <w:rFonts w:ascii="Times New Roman" w:hAnsi="Times New Roman" w:cs="Times New Roman"/>
    </w:rPr>
  </w:style>
  <w:style w:type="paragraph" w:styleId="ListParagraph">
    <w:name w:val="List Paragraph"/>
    <w:basedOn w:val="Normal"/>
    <w:uiPriority w:val="34"/>
    <w:qFormat/>
    <w:rsid w:val="007E2E5C"/>
    <w:pPr>
      <w:ind w:left="720"/>
      <w:contextualSpacing/>
    </w:pPr>
  </w:style>
  <w:style w:type="paragraph" w:customStyle="1" w:styleId="WatershedText">
    <w:name w:val="Watershed Text"/>
    <w:basedOn w:val="NoParagraphStyle"/>
    <w:uiPriority w:val="99"/>
    <w:rsid w:val="00D850A7"/>
    <w:pPr>
      <w:spacing w:line="240" w:lineRule="atLeast"/>
    </w:pPr>
    <w:rPr>
      <w:rFonts w:ascii="Myriad Pro" w:hAnsi="Myriad Pro" w:cs="Myriad Pr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watershed\Watershed_Planning\2010-2012_Plans\2012_Plans\MI02_MilwaukeeRiverSouth_CraigHelker\Assessment\MI02_Land_Us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numFmt formatCode="0.00%" sourceLinked="0"/>
            <c:txPr>
              <a:bodyPr/>
              <a:lstStyle/>
              <a:p>
                <a:pPr>
                  <a:defRPr sz="1200"/>
                </a:pPr>
                <a:endParaRPr lang="en-US"/>
              </a:p>
            </c:txPr>
            <c:showLegendKey val="0"/>
            <c:showVal val="0"/>
            <c:showCatName val="0"/>
            <c:showSerName val="0"/>
            <c:showPercent val="1"/>
            <c:showBubbleSize val="0"/>
            <c:showLeaderLines val="1"/>
          </c:dLbls>
          <c:cat>
            <c:strRef>
              <c:f>download!$E$1:$L$1</c:f>
              <c:strCache>
                <c:ptCount val="8"/>
                <c:pt idx="0">
                  <c:v>Agriculture (%)</c:v>
                </c:pt>
                <c:pt idx="1">
                  <c:v>Urban (%)</c:v>
                </c:pt>
                <c:pt idx="2">
                  <c:v>Sub Urban (%)</c:v>
                </c:pt>
                <c:pt idx="3">
                  <c:v>Wetland (%)</c:v>
                </c:pt>
                <c:pt idx="4">
                  <c:v>Barren (%)</c:v>
                </c:pt>
                <c:pt idx="5">
                  <c:v>Grass Land (%)</c:v>
                </c:pt>
                <c:pt idx="6">
                  <c:v>Forest (%)</c:v>
                </c:pt>
                <c:pt idx="7">
                  <c:v>Open Land and Water (%)</c:v>
                </c:pt>
              </c:strCache>
            </c:strRef>
          </c:cat>
          <c:val>
            <c:numRef>
              <c:f>download!$E$2:$L$2</c:f>
              <c:numCache>
                <c:formatCode>General</c:formatCode>
                <c:ptCount val="8"/>
                <c:pt idx="0">
                  <c:v>31.03</c:v>
                </c:pt>
                <c:pt idx="1">
                  <c:v>17.149999999999999</c:v>
                </c:pt>
                <c:pt idx="2">
                  <c:v>20.47</c:v>
                </c:pt>
                <c:pt idx="3">
                  <c:v>5.61</c:v>
                </c:pt>
                <c:pt idx="4">
                  <c:v>0.18</c:v>
                </c:pt>
                <c:pt idx="5">
                  <c:v>0.74</c:v>
                </c:pt>
                <c:pt idx="6">
                  <c:v>12.23</c:v>
                </c:pt>
                <c:pt idx="7">
                  <c:v>12.59</c:v>
                </c:pt>
              </c:numCache>
            </c:numRef>
          </c:val>
        </c:ser>
        <c:dLbls>
          <c:showLegendKey val="0"/>
          <c:showVal val="0"/>
          <c:showCatName val="0"/>
          <c:showSerName val="0"/>
          <c:showPercent val="0"/>
          <c:showBubbleSize val="0"/>
          <c:showLeaderLines val="1"/>
        </c:dLbls>
      </c:pie3DChart>
      <c:spPr>
        <a:noFill/>
        <a:ln w="25400">
          <a:noFill/>
        </a:ln>
      </c:spPr>
    </c:plotArea>
    <c:legend>
      <c:legendPos val="r"/>
      <c:layou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1038</Words>
  <Characters>5918</Characters>
  <Application>Microsoft Office Word</Application>
  <DocSecurity>0</DocSecurity>
  <Lines>49</Lines>
  <Paragraphs>13</Paragraphs>
  <ScaleCrop>false</ScaleCrop>
  <Company>Wisconsin DNR</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Pinney, Burke J</dc:creator>
  <cp:lastModifiedBy>Pinney, Burke J</cp:lastModifiedBy>
  <cp:revision>22</cp:revision>
  <dcterms:created xsi:type="dcterms:W3CDTF">2012-06-11T19:32:00Z</dcterms:created>
  <dcterms:modified xsi:type="dcterms:W3CDTF">2012-08-24T16:01:00Z</dcterms:modified>
</cp:coreProperties>
</file>