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38" w:rsidRPr="00093CD5" w:rsidRDefault="00E72038" w:rsidP="00E72038">
      <w:pPr>
        <w:jc w:val="center"/>
        <w:rPr>
          <w:b/>
          <w:sz w:val="36"/>
          <w:szCs w:val="36"/>
        </w:rPr>
      </w:pPr>
      <w:proofErr w:type="spellStart"/>
      <w:r w:rsidRPr="00093CD5">
        <w:rPr>
          <w:b/>
          <w:sz w:val="36"/>
          <w:szCs w:val="36"/>
        </w:rPr>
        <w:t>Nem</w:t>
      </w:r>
      <w:r>
        <w:rPr>
          <w:b/>
          <w:sz w:val="36"/>
          <w:szCs w:val="36"/>
        </w:rPr>
        <w:t>a</w:t>
      </w:r>
      <w:r w:rsidRPr="00093CD5">
        <w:rPr>
          <w:b/>
          <w:sz w:val="36"/>
          <w:szCs w:val="36"/>
        </w:rPr>
        <w:t>dji</w:t>
      </w:r>
      <w:proofErr w:type="spellEnd"/>
      <w:r w:rsidRPr="00093CD5">
        <w:rPr>
          <w:b/>
          <w:sz w:val="36"/>
          <w:szCs w:val="36"/>
        </w:rPr>
        <w:t xml:space="preserve"> River and Tributaries</w:t>
      </w:r>
    </w:p>
    <w:p w:rsidR="00E72038" w:rsidRDefault="00E72038" w:rsidP="00E72038">
      <w:pPr>
        <w:jc w:val="center"/>
        <w:rPr>
          <w:b/>
          <w:sz w:val="36"/>
          <w:szCs w:val="36"/>
        </w:rPr>
      </w:pPr>
      <w:r w:rsidRPr="00093CD5">
        <w:rPr>
          <w:b/>
          <w:sz w:val="36"/>
          <w:szCs w:val="36"/>
        </w:rPr>
        <w:t>Water Quality Assessment</w:t>
      </w:r>
    </w:p>
    <w:p w:rsidR="00E72038" w:rsidRDefault="00E72038" w:rsidP="00E72038">
      <w:pPr>
        <w:jc w:val="center"/>
        <w:rPr>
          <w:b/>
          <w:sz w:val="36"/>
          <w:szCs w:val="36"/>
        </w:rPr>
      </w:pPr>
    </w:p>
    <w:p w:rsidR="00E72038" w:rsidRDefault="00E72038" w:rsidP="00E72038">
      <w:pPr>
        <w:jc w:val="center"/>
        <w:rPr>
          <w:sz w:val="24"/>
          <w:szCs w:val="24"/>
        </w:rPr>
      </w:pPr>
      <w:r>
        <w:rPr>
          <w:sz w:val="24"/>
          <w:szCs w:val="24"/>
        </w:rPr>
        <w:t>Craig Roesler – DNR, Spooner (</w:t>
      </w:r>
      <w:r w:rsidR="00FC49FB">
        <w:rPr>
          <w:sz w:val="24"/>
          <w:szCs w:val="24"/>
        </w:rPr>
        <w:t>3</w:t>
      </w:r>
      <w:r>
        <w:rPr>
          <w:sz w:val="24"/>
          <w:szCs w:val="24"/>
        </w:rPr>
        <w:t>/</w:t>
      </w:r>
      <w:r w:rsidR="00FC49FB">
        <w:rPr>
          <w:sz w:val="24"/>
          <w:szCs w:val="24"/>
        </w:rPr>
        <w:t>24</w:t>
      </w:r>
      <w:r>
        <w:rPr>
          <w:sz w:val="24"/>
          <w:szCs w:val="24"/>
        </w:rPr>
        <w:t>/14)</w:t>
      </w:r>
    </w:p>
    <w:p w:rsidR="00E72038" w:rsidRDefault="00E72038" w:rsidP="00E72038">
      <w:pPr>
        <w:jc w:val="center"/>
        <w:rPr>
          <w:sz w:val="24"/>
          <w:szCs w:val="24"/>
        </w:rPr>
      </w:pPr>
    </w:p>
    <w:p w:rsidR="00E72038" w:rsidRDefault="00E72038" w:rsidP="00E72038">
      <w:pPr>
        <w:rPr>
          <w:sz w:val="22"/>
          <w:szCs w:val="22"/>
        </w:rPr>
      </w:pPr>
      <w:r>
        <w:rPr>
          <w:b/>
          <w:sz w:val="22"/>
          <w:szCs w:val="22"/>
          <w:u w:val="single"/>
        </w:rPr>
        <w:t>Introduction</w:t>
      </w:r>
    </w:p>
    <w:p w:rsidR="00E72038" w:rsidRDefault="00E72038" w:rsidP="00E72038">
      <w:pPr>
        <w:rPr>
          <w:sz w:val="22"/>
          <w:szCs w:val="22"/>
        </w:rPr>
      </w:pPr>
    </w:p>
    <w:p w:rsidR="00E72038" w:rsidRDefault="00E72038" w:rsidP="00E72038">
      <w:pPr>
        <w:rPr>
          <w:sz w:val="22"/>
          <w:szCs w:val="22"/>
        </w:rPr>
      </w:pPr>
      <w:r>
        <w:rPr>
          <w:sz w:val="22"/>
          <w:szCs w:val="22"/>
        </w:rPr>
        <w:t xml:space="preserve">Monitoring of the </w:t>
      </w:r>
      <w:proofErr w:type="spellStart"/>
      <w:r>
        <w:rPr>
          <w:sz w:val="22"/>
          <w:szCs w:val="22"/>
        </w:rPr>
        <w:t>Nemadji</w:t>
      </w:r>
      <w:proofErr w:type="spellEnd"/>
      <w:r>
        <w:rPr>
          <w:sz w:val="22"/>
          <w:szCs w:val="22"/>
        </w:rPr>
        <w:t xml:space="preserve"> River and several of its tributaries was conducted during 2008 to 2010 by Superior office staff to assess water quality conditions, and to help determine if these streams should be placed on Wisconsin’s 303d list of impaired waters.  Sites monitored are shown in figures 1 and 2.  Streams monitored were the </w:t>
      </w:r>
      <w:proofErr w:type="spellStart"/>
      <w:r>
        <w:rPr>
          <w:sz w:val="22"/>
          <w:szCs w:val="22"/>
        </w:rPr>
        <w:t>Nemadji</w:t>
      </w:r>
      <w:proofErr w:type="spellEnd"/>
      <w:r>
        <w:rPr>
          <w:sz w:val="22"/>
          <w:szCs w:val="22"/>
        </w:rPr>
        <w:t xml:space="preserve"> River, Crawford Creek, Black River, Balsam Creek, Clear Creek, and Mud Creek.</w:t>
      </w:r>
    </w:p>
    <w:p w:rsidR="00E72038" w:rsidRDefault="00E72038" w:rsidP="00E72038">
      <w:pPr>
        <w:rPr>
          <w:sz w:val="22"/>
          <w:szCs w:val="22"/>
        </w:rPr>
      </w:pPr>
    </w:p>
    <w:p w:rsidR="00DA4ADB" w:rsidRDefault="00DA4ADB" w:rsidP="00DA4ADB">
      <w:pPr>
        <w:rPr>
          <w:sz w:val="22"/>
          <w:szCs w:val="22"/>
        </w:rPr>
      </w:pPr>
      <w:r>
        <w:rPr>
          <w:sz w:val="22"/>
          <w:szCs w:val="22"/>
        </w:rPr>
        <w:t xml:space="preserve">The Wisconsin portion of the </w:t>
      </w:r>
      <w:proofErr w:type="spellStart"/>
      <w:r>
        <w:rPr>
          <w:sz w:val="22"/>
          <w:szCs w:val="22"/>
        </w:rPr>
        <w:t>Nemadji</w:t>
      </w:r>
      <w:proofErr w:type="spellEnd"/>
      <w:r>
        <w:rPr>
          <w:sz w:val="22"/>
          <w:szCs w:val="22"/>
        </w:rPr>
        <w:t xml:space="preserve"> River watershed is located in Douglas County in the northwest corner of the state.  </w:t>
      </w:r>
      <w:r w:rsidR="00DD028F">
        <w:rPr>
          <w:sz w:val="22"/>
          <w:szCs w:val="22"/>
        </w:rPr>
        <w:t xml:space="preserve">The </w:t>
      </w:r>
      <w:r w:rsidR="0057410B">
        <w:rPr>
          <w:sz w:val="22"/>
          <w:szCs w:val="22"/>
        </w:rPr>
        <w:t>upstream half</w:t>
      </w:r>
      <w:r w:rsidR="00DD028F">
        <w:rPr>
          <w:sz w:val="22"/>
          <w:szCs w:val="22"/>
        </w:rPr>
        <w:t xml:space="preserve"> </w:t>
      </w:r>
      <w:r>
        <w:rPr>
          <w:sz w:val="22"/>
          <w:szCs w:val="22"/>
        </w:rPr>
        <w:t xml:space="preserve">of the watershed is located in Minnesota.  The </w:t>
      </w:r>
      <w:proofErr w:type="spellStart"/>
      <w:r>
        <w:rPr>
          <w:sz w:val="22"/>
          <w:szCs w:val="22"/>
        </w:rPr>
        <w:t>Nemadji</w:t>
      </w:r>
      <w:proofErr w:type="spellEnd"/>
      <w:r>
        <w:rPr>
          <w:sz w:val="22"/>
          <w:szCs w:val="22"/>
        </w:rPr>
        <w:t xml:space="preserve"> River flows into Superior Bay on the south side of the City of Superior.</w:t>
      </w:r>
    </w:p>
    <w:p w:rsidR="00DA4ADB" w:rsidRDefault="00DA4ADB" w:rsidP="00E72038">
      <w:pPr>
        <w:rPr>
          <w:sz w:val="22"/>
          <w:szCs w:val="22"/>
        </w:rPr>
      </w:pPr>
    </w:p>
    <w:p w:rsidR="0057410B" w:rsidRDefault="00E72038" w:rsidP="00E72038">
      <w:pPr>
        <w:rPr>
          <w:sz w:val="22"/>
          <w:szCs w:val="22"/>
        </w:rPr>
      </w:pPr>
      <w:r>
        <w:rPr>
          <w:sz w:val="22"/>
          <w:szCs w:val="22"/>
        </w:rPr>
        <w:t xml:space="preserve">Crawford Creek was previously placed on the 303d list in 1998.  The impairment identified is chronic aquatic toxicity.  Pollutants </w:t>
      </w:r>
      <w:r w:rsidR="0057410B">
        <w:rPr>
          <w:sz w:val="22"/>
          <w:szCs w:val="22"/>
        </w:rPr>
        <w:t>identified at that time we</w:t>
      </w:r>
      <w:r>
        <w:rPr>
          <w:sz w:val="22"/>
          <w:szCs w:val="22"/>
        </w:rPr>
        <w:t xml:space="preserve">re creosote and PAH’s.  </w:t>
      </w:r>
      <w:r w:rsidR="0057410B">
        <w:rPr>
          <w:sz w:val="22"/>
          <w:szCs w:val="22"/>
        </w:rPr>
        <w:t xml:space="preserve">Dioxins are also present.  </w:t>
      </w:r>
      <w:proofErr w:type="spellStart"/>
      <w:r>
        <w:rPr>
          <w:sz w:val="22"/>
          <w:szCs w:val="22"/>
        </w:rPr>
        <w:t>Koppers</w:t>
      </w:r>
      <w:proofErr w:type="spellEnd"/>
      <w:r>
        <w:rPr>
          <w:sz w:val="22"/>
          <w:szCs w:val="22"/>
        </w:rPr>
        <w:t xml:space="preserve"> Industries operated a wood treatment facility that discharged to the creek and contaminated sediments in the creek and its floodplain.  </w:t>
      </w:r>
      <w:r w:rsidR="0057410B">
        <w:rPr>
          <w:sz w:val="22"/>
          <w:szCs w:val="22"/>
        </w:rPr>
        <w:t xml:space="preserve">The Department is working with the responsible party to better define the degree and extent of sediment contamination and to work toward the clean-up of the creek and flood plain soils. </w:t>
      </w:r>
    </w:p>
    <w:p w:rsidR="0057410B" w:rsidRDefault="0057410B" w:rsidP="00E72038">
      <w:pPr>
        <w:rPr>
          <w:sz w:val="22"/>
          <w:szCs w:val="22"/>
        </w:rPr>
      </w:pPr>
    </w:p>
    <w:p w:rsidR="00E72038" w:rsidRDefault="00E72038" w:rsidP="00E72038">
      <w:pPr>
        <w:rPr>
          <w:sz w:val="22"/>
          <w:szCs w:val="22"/>
        </w:rPr>
      </w:pPr>
      <w:r>
        <w:rPr>
          <w:sz w:val="22"/>
          <w:szCs w:val="22"/>
        </w:rPr>
        <w:t xml:space="preserve">Erodible clay soils </w:t>
      </w:r>
      <w:r w:rsidR="00DD028F">
        <w:rPr>
          <w:sz w:val="22"/>
          <w:szCs w:val="22"/>
        </w:rPr>
        <w:t xml:space="preserve">interspersed with sands and silts </w:t>
      </w:r>
      <w:r>
        <w:rPr>
          <w:sz w:val="22"/>
          <w:szCs w:val="22"/>
        </w:rPr>
        <w:t xml:space="preserve">are present in the Crawford Creek watershed.  Flows are “flashy” with high peak flows during runoff events, and low base flows between runoff events.  Eroding stream banks, high turbidity, high suspended solids concentrations, and fine sediment bed load are other concerns for this stream.   </w:t>
      </w:r>
    </w:p>
    <w:p w:rsidR="00E72038" w:rsidRDefault="00E72038" w:rsidP="00E72038">
      <w:pPr>
        <w:rPr>
          <w:sz w:val="22"/>
          <w:szCs w:val="22"/>
        </w:rPr>
      </w:pPr>
    </w:p>
    <w:p w:rsidR="00E72038" w:rsidRDefault="00E72038" w:rsidP="00E72038">
      <w:pPr>
        <w:rPr>
          <w:sz w:val="22"/>
          <w:szCs w:val="22"/>
        </w:rPr>
      </w:pPr>
      <w:r>
        <w:rPr>
          <w:sz w:val="22"/>
          <w:szCs w:val="22"/>
        </w:rPr>
        <w:t xml:space="preserve">Much of the </w:t>
      </w:r>
      <w:proofErr w:type="spellStart"/>
      <w:r>
        <w:rPr>
          <w:sz w:val="22"/>
          <w:szCs w:val="22"/>
        </w:rPr>
        <w:t>Nemadji</w:t>
      </w:r>
      <w:proofErr w:type="spellEnd"/>
      <w:r>
        <w:rPr>
          <w:sz w:val="22"/>
          <w:szCs w:val="22"/>
        </w:rPr>
        <w:t xml:space="preserve"> River watershed also has erodible clay soils</w:t>
      </w:r>
      <w:r w:rsidR="00DD028F">
        <w:rPr>
          <w:sz w:val="22"/>
          <w:szCs w:val="22"/>
        </w:rPr>
        <w:t xml:space="preserve"> interspersed with sands and silts</w:t>
      </w:r>
      <w:r>
        <w:rPr>
          <w:sz w:val="22"/>
          <w:szCs w:val="22"/>
        </w:rPr>
        <w:t xml:space="preserve">.  Erosion of stream banks and </w:t>
      </w:r>
      <w:proofErr w:type="spellStart"/>
      <w:r>
        <w:rPr>
          <w:sz w:val="22"/>
          <w:szCs w:val="22"/>
        </w:rPr>
        <w:t>drainageways</w:t>
      </w:r>
      <w:proofErr w:type="spellEnd"/>
      <w:r>
        <w:rPr>
          <w:sz w:val="22"/>
          <w:szCs w:val="22"/>
        </w:rPr>
        <w:t xml:space="preserve"> to streams provides most of the sediment load to the </w:t>
      </w:r>
      <w:proofErr w:type="spellStart"/>
      <w:r>
        <w:rPr>
          <w:sz w:val="22"/>
          <w:szCs w:val="22"/>
        </w:rPr>
        <w:t>Nemadji</w:t>
      </w:r>
      <w:proofErr w:type="spellEnd"/>
      <w:r>
        <w:rPr>
          <w:sz w:val="22"/>
          <w:szCs w:val="22"/>
        </w:rPr>
        <w:t xml:space="preserve"> River.  The river carries a large load of both suspended sediment and bed load sediment.  The </w:t>
      </w:r>
      <w:proofErr w:type="spellStart"/>
      <w:r>
        <w:rPr>
          <w:sz w:val="22"/>
          <w:szCs w:val="22"/>
        </w:rPr>
        <w:t>Nemadji</w:t>
      </w:r>
      <w:proofErr w:type="spellEnd"/>
      <w:r>
        <w:rPr>
          <w:sz w:val="22"/>
          <w:szCs w:val="22"/>
        </w:rPr>
        <w:t xml:space="preserve"> River is estimated to deliver 127,000 tons of sediment per year to Superior Bay and Lake Superior.  The Army Corps of Engineers removes about 33,000 tons of sediment (mostly sand) per year near the mouth of the river to maintain the navigation channel.  The river has high turbidity and high suspended solids concentrations. </w:t>
      </w:r>
    </w:p>
    <w:p w:rsidR="00E72038" w:rsidRDefault="00E72038" w:rsidP="00E72038">
      <w:pPr>
        <w:rPr>
          <w:sz w:val="22"/>
          <w:szCs w:val="22"/>
        </w:rPr>
      </w:pPr>
    </w:p>
    <w:p w:rsidR="00CB694A" w:rsidRDefault="00E72038" w:rsidP="00E72038">
      <w:pPr>
        <w:rPr>
          <w:sz w:val="22"/>
          <w:szCs w:val="22"/>
        </w:rPr>
      </w:pPr>
      <w:r>
        <w:rPr>
          <w:sz w:val="22"/>
          <w:szCs w:val="22"/>
        </w:rPr>
        <w:t xml:space="preserve">The </w:t>
      </w:r>
      <w:proofErr w:type="spellStart"/>
      <w:r>
        <w:rPr>
          <w:sz w:val="22"/>
          <w:szCs w:val="22"/>
        </w:rPr>
        <w:t>Nemadji</w:t>
      </w:r>
      <w:proofErr w:type="spellEnd"/>
      <w:r>
        <w:rPr>
          <w:sz w:val="22"/>
          <w:szCs w:val="22"/>
        </w:rPr>
        <w:t xml:space="preserve"> River was added to the 303d list in 2010.  The high sediment load was judged to exceed the narrative water quality standard found in NR102.04 (a) of the Wisconsin Administrative Code, which states “Substances that will cause objectionable deposits on the shore or in the bed of a body of water, shall not be present in such amounts as to interfere with public rights in waters of the state.”</w:t>
      </w:r>
      <w:r w:rsidR="00FB42A0">
        <w:rPr>
          <w:sz w:val="22"/>
          <w:szCs w:val="22"/>
        </w:rPr>
        <w:t xml:space="preserve"> </w:t>
      </w:r>
      <w:r w:rsidR="0057410B">
        <w:rPr>
          <w:sz w:val="22"/>
          <w:szCs w:val="22"/>
        </w:rPr>
        <w:t xml:space="preserve"> Minnesota placed the </w:t>
      </w:r>
      <w:proofErr w:type="spellStart"/>
      <w:r w:rsidR="0057410B">
        <w:rPr>
          <w:sz w:val="22"/>
          <w:szCs w:val="22"/>
        </w:rPr>
        <w:t>Nemadji</w:t>
      </w:r>
      <w:proofErr w:type="spellEnd"/>
      <w:r w:rsidR="0057410B">
        <w:rPr>
          <w:sz w:val="22"/>
          <w:szCs w:val="22"/>
        </w:rPr>
        <w:t xml:space="preserve"> River on its 303d list in 2004 due to </w:t>
      </w:r>
      <w:proofErr w:type="spellStart"/>
      <w:r w:rsidR="0057410B">
        <w:rPr>
          <w:sz w:val="22"/>
          <w:szCs w:val="22"/>
        </w:rPr>
        <w:t>exceedences</w:t>
      </w:r>
      <w:proofErr w:type="spellEnd"/>
      <w:r w:rsidR="0057410B">
        <w:rPr>
          <w:sz w:val="22"/>
          <w:szCs w:val="22"/>
        </w:rPr>
        <w:t xml:space="preserve"> of their turbidity standard (25 </w:t>
      </w:r>
      <w:proofErr w:type="spellStart"/>
      <w:r w:rsidR="0057410B">
        <w:rPr>
          <w:sz w:val="22"/>
          <w:szCs w:val="22"/>
        </w:rPr>
        <w:t>ntu</w:t>
      </w:r>
      <w:proofErr w:type="spellEnd"/>
      <w:r w:rsidR="0057410B">
        <w:rPr>
          <w:sz w:val="22"/>
          <w:szCs w:val="22"/>
        </w:rPr>
        <w:t xml:space="preserve">), and began developing a TMDL in 2008.  Wisconsin’s listing in 2010 was based in large part on Minnesota’s listing since conditions in the Minnesota and Wisconsin reaches are similar, although Wisconsin does not have a standard for turbidity or total suspended solids.  The median </w:t>
      </w:r>
      <w:r w:rsidR="00CB694A">
        <w:rPr>
          <w:sz w:val="22"/>
          <w:szCs w:val="22"/>
        </w:rPr>
        <w:t xml:space="preserve">turbidity measured in the </w:t>
      </w:r>
      <w:proofErr w:type="spellStart"/>
      <w:r w:rsidR="00CB694A">
        <w:rPr>
          <w:sz w:val="22"/>
          <w:szCs w:val="22"/>
        </w:rPr>
        <w:t>Nemadji</w:t>
      </w:r>
      <w:proofErr w:type="spellEnd"/>
      <w:r w:rsidR="00CB694A">
        <w:rPr>
          <w:sz w:val="22"/>
          <w:szCs w:val="22"/>
        </w:rPr>
        <w:t xml:space="preserve"> River at CTH C (Wisconsin) is 27.5 </w:t>
      </w:r>
      <w:proofErr w:type="spellStart"/>
      <w:r w:rsidR="00CB694A">
        <w:rPr>
          <w:sz w:val="22"/>
          <w:szCs w:val="22"/>
        </w:rPr>
        <w:t>ntu</w:t>
      </w:r>
      <w:proofErr w:type="spellEnd"/>
      <w:r w:rsidR="00CB694A">
        <w:rPr>
          <w:sz w:val="22"/>
          <w:szCs w:val="22"/>
        </w:rPr>
        <w:t xml:space="preserve"> (2006-2012), which exceeds Minnesota’s turbidity standard.  Including the </w:t>
      </w:r>
      <w:proofErr w:type="spellStart"/>
      <w:r w:rsidR="00CB694A">
        <w:rPr>
          <w:sz w:val="22"/>
          <w:szCs w:val="22"/>
        </w:rPr>
        <w:t>Nemadji</w:t>
      </w:r>
      <w:proofErr w:type="spellEnd"/>
      <w:r w:rsidR="00CB694A">
        <w:rPr>
          <w:sz w:val="22"/>
          <w:szCs w:val="22"/>
        </w:rPr>
        <w:t xml:space="preserve"> River on Wisconsin’s 303d list would allow the two states to work together to develop a comprehensive TMDL that would benefit the entire watershed.  </w:t>
      </w:r>
    </w:p>
    <w:p w:rsidR="00CB694A" w:rsidRDefault="00CB694A" w:rsidP="00E72038">
      <w:pPr>
        <w:rPr>
          <w:sz w:val="22"/>
          <w:szCs w:val="22"/>
        </w:rPr>
      </w:pPr>
    </w:p>
    <w:p w:rsidR="00E72038" w:rsidRDefault="00CB694A" w:rsidP="00CB694A">
      <w:pPr>
        <w:rPr>
          <w:sz w:val="22"/>
          <w:szCs w:val="22"/>
        </w:rPr>
      </w:pPr>
      <w:r>
        <w:rPr>
          <w:sz w:val="22"/>
          <w:szCs w:val="22"/>
        </w:rPr>
        <w:lastRenderedPageBreak/>
        <w:t>The</w:t>
      </w:r>
      <w:r w:rsidR="00E72038">
        <w:rPr>
          <w:sz w:val="22"/>
          <w:szCs w:val="22"/>
        </w:rPr>
        <w:t xml:space="preserve"> </w:t>
      </w:r>
      <w:r>
        <w:rPr>
          <w:sz w:val="22"/>
          <w:szCs w:val="22"/>
        </w:rPr>
        <w:t>o</w:t>
      </w:r>
      <w:r w:rsidR="00E72038">
        <w:rPr>
          <w:sz w:val="22"/>
          <w:szCs w:val="22"/>
        </w:rPr>
        <w:t>ther consideration that contributed to the listing decision w</w:t>
      </w:r>
      <w:r>
        <w:rPr>
          <w:sz w:val="22"/>
          <w:szCs w:val="22"/>
        </w:rPr>
        <w:t>as that c</w:t>
      </w:r>
      <w:r w:rsidR="00E72038">
        <w:rPr>
          <w:sz w:val="22"/>
          <w:szCs w:val="22"/>
        </w:rPr>
        <w:t xml:space="preserve">reosote and PAH’s from Crawford Creek are a continuing source of pollutants to the </w:t>
      </w:r>
      <w:proofErr w:type="spellStart"/>
      <w:r w:rsidR="00E72038">
        <w:rPr>
          <w:sz w:val="22"/>
          <w:szCs w:val="22"/>
        </w:rPr>
        <w:t>Nemadji</w:t>
      </w:r>
      <w:proofErr w:type="spellEnd"/>
      <w:r w:rsidR="00E72038">
        <w:rPr>
          <w:sz w:val="22"/>
          <w:szCs w:val="22"/>
        </w:rPr>
        <w:t xml:space="preserve"> River.</w:t>
      </w:r>
    </w:p>
    <w:p w:rsidR="00CB694A" w:rsidRDefault="00CB694A" w:rsidP="00CB694A">
      <w:pPr>
        <w:rPr>
          <w:sz w:val="22"/>
          <w:szCs w:val="22"/>
        </w:rPr>
      </w:pPr>
    </w:p>
    <w:p w:rsidR="00E72038" w:rsidRDefault="00E72038" w:rsidP="00977B74">
      <w:pPr>
        <w:jc w:val="center"/>
        <w:rPr>
          <w:sz w:val="22"/>
          <w:szCs w:val="22"/>
        </w:rPr>
      </w:pPr>
    </w:p>
    <w:p w:rsidR="00E72038" w:rsidRDefault="00E72038">
      <w:pPr>
        <w:rPr>
          <w:sz w:val="22"/>
          <w:szCs w:val="22"/>
        </w:rPr>
      </w:pPr>
    </w:p>
    <w:p w:rsidR="001027D4" w:rsidRDefault="001027D4" w:rsidP="00977B74">
      <w:pPr>
        <w:jc w:val="center"/>
        <w:rPr>
          <w:sz w:val="22"/>
          <w:szCs w:val="22"/>
        </w:rPr>
      </w:pPr>
    </w:p>
    <w:p w:rsidR="00FB42A0" w:rsidRDefault="00FB42A0" w:rsidP="00977B74">
      <w:pPr>
        <w:jc w:val="center"/>
        <w:rPr>
          <w:sz w:val="22"/>
          <w:szCs w:val="22"/>
        </w:rPr>
      </w:pPr>
    </w:p>
    <w:p w:rsidR="00FB42A0" w:rsidRDefault="00FB42A0" w:rsidP="00977B74">
      <w:pPr>
        <w:jc w:val="center"/>
        <w:rPr>
          <w:sz w:val="22"/>
          <w:szCs w:val="22"/>
        </w:rPr>
      </w:pPr>
    </w:p>
    <w:p w:rsidR="00FB42A0" w:rsidRDefault="00FB42A0" w:rsidP="00977B74">
      <w:pPr>
        <w:jc w:val="center"/>
        <w:rPr>
          <w:sz w:val="22"/>
          <w:szCs w:val="22"/>
        </w:rPr>
      </w:pPr>
    </w:p>
    <w:p w:rsidR="00FB42A0" w:rsidRDefault="00FB42A0" w:rsidP="00977B74">
      <w:pPr>
        <w:jc w:val="center"/>
        <w:rPr>
          <w:sz w:val="22"/>
          <w:szCs w:val="22"/>
        </w:rPr>
      </w:pPr>
    </w:p>
    <w:p w:rsidR="00FB42A0" w:rsidRDefault="00FB42A0" w:rsidP="00977B74">
      <w:pPr>
        <w:jc w:val="center"/>
        <w:rPr>
          <w:sz w:val="22"/>
          <w:szCs w:val="22"/>
        </w:rPr>
      </w:pPr>
    </w:p>
    <w:p w:rsidR="00FB42A0" w:rsidRDefault="00FB42A0" w:rsidP="00977B74">
      <w:pPr>
        <w:jc w:val="center"/>
        <w:rPr>
          <w:sz w:val="22"/>
          <w:szCs w:val="22"/>
        </w:rPr>
        <w:sectPr w:rsidR="00FB42A0" w:rsidSect="00FB42A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720" w:gutter="0"/>
          <w:cols w:space="720"/>
          <w:docGrid w:linePitch="272"/>
        </w:sectPr>
      </w:pPr>
    </w:p>
    <w:p w:rsidR="00FB42A0" w:rsidRDefault="00FB42A0" w:rsidP="00977B74">
      <w:pPr>
        <w:jc w:val="center"/>
        <w:rPr>
          <w:sz w:val="22"/>
          <w:szCs w:val="22"/>
        </w:rPr>
      </w:pPr>
    </w:p>
    <w:p w:rsidR="00FB42A0" w:rsidRDefault="00FB42A0" w:rsidP="00977B74">
      <w:pPr>
        <w:jc w:val="center"/>
        <w:rPr>
          <w:sz w:val="22"/>
          <w:szCs w:val="22"/>
        </w:rPr>
      </w:pPr>
    </w:p>
    <w:p w:rsidR="00977B74" w:rsidRDefault="00977B74" w:rsidP="00977B74">
      <w:pPr>
        <w:jc w:val="center"/>
        <w:rPr>
          <w:sz w:val="22"/>
          <w:szCs w:val="22"/>
        </w:rPr>
      </w:pPr>
      <w:r>
        <w:rPr>
          <w:noProof/>
          <w:sz w:val="22"/>
          <w:szCs w:val="22"/>
        </w:rPr>
        <w:drawing>
          <wp:inline distT="0" distB="0" distL="0" distR="0" wp14:anchorId="227D74EC" wp14:editId="41FB54AE">
            <wp:extent cx="6858000" cy="521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R WS mon sites fig 1.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5219700"/>
                    </a:xfrm>
                    <a:prstGeom prst="rect">
                      <a:avLst/>
                    </a:prstGeom>
                  </pic:spPr>
                </pic:pic>
              </a:graphicData>
            </a:graphic>
          </wp:inline>
        </w:drawing>
      </w: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r>
        <w:rPr>
          <w:noProof/>
          <w:sz w:val="22"/>
          <w:szCs w:val="22"/>
        </w:rPr>
        <w:drawing>
          <wp:inline distT="0" distB="0" distL="0" distR="0" wp14:anchorId="61EC73F8" wp14:editId="4729EC5A">
            <wp:extent cx="6858000" cy="5226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R WS mon sites with AP fig 2.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226685"/>
                    </a:xfrm>
                    <a:prstGeom prst="rect">
                      <a:avLst/>
                    </a:prstGeom>
                  </pic:spPr>
                </pic:pic>
              </a:graphicData>
            </a:graphic>
          </wp:inline>
        </w:drawing>
      </w: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FB42A0" w:rsidRDefault="00FB42A0" w:rsidP="00977B74">
      <w:pPr>
        <w:jc w:val="center"/>
        <w:rPr>
          <w:sz w:val="22"/>
          <w:szCs w:val="22"/>
        </w:rPr>
        <w:sectPr w:rsidR="00FB42A0" w:rsidSect="00FB42A0">
          <w:type w:val="continuous"/>
          <w:pgSz w:w="12240" w:h="15840"/>
          <w:pgMar w:top="1440" w:right="720" w:bottom="1440" w:left="720" w:header="720" w:footer="720" w:gutter="0"/>
          <w:cols w:space="720"/>
          <w:docGrid w:linePitch="272"/>
        </w:sectPr>
      </w:pPr>
    </w:p>
    <w:p w:rsidR="00977B74" w:rsidRDefault="00977B74" w:rsidP="00977B74">
      <w:pPr>
        <w:jc w:val="center"/>
        <w:rPr>
          <w:sz w:val="22"/>
          <w:szCs w:val="22"/>
        </w:rPr>
      </w:pPr>
    </w:p>
    <w:p w:rsidR="00E72038" w:rsidRDefault="00E72038" w:rsidP="00E72038">
      <w:pPr>
        <w:rPr>
          <w:sz w:val="22"/>
          <w:szCs w:val="22"/>
        </w:rPr>
      </w:pPr>
      <w:r>
        <w:rPr>
          <w:sz w:val="22"/>
          <w:szCs w:val="22"/>
        </w:rPr>
        <w:t xml:space="preserve">There are four point source discharges going directly or indirectly to the </w:t>
      </w:r>
      <w:proofErr w:type="spellStart"/>
      <w:r>
        <w:rPr>
          <w:sz w:val="22"/>
          <w:szCs w:val="22"/>
        </w:rPr>
        <w:t>Nemadji</w:t>
      </w:r>
      <w:proofErr w:type="spellEnd"/>
      <w:r>
        <w:rPr>
          <w:sz w:val="22"/>
          <w:szCs w:val="22"/>
        </w:rPr>
        <w:t xml:space="preserve"> River:</w:t>
      </w:r>
    </w:p>
    <w:p w:rsidR="00E72038" w:rsidRDefault="00E72038" w:rsidP="00E72038">
      <w:pPr>
        <w:rPr>
          <w:sz w:val="22"/>
          <w:szCs w:val="22"/>
        </w:rPr>
      </w:pPr>
    </w:p>
    <w:p w:rsidR="00E72038" w:rsidRDefault="00E72038" w:rsidP="00E72038">
      <w:pPr>
        <w:pStyle w:val="ListParagraph"/>
        <w:numPr>
          <w:ilvl w:val="0"/>
          <w:numId w:val="1"/>
        </w:numPr>
        <w:rPr>
          <w:sz w:val="22"/>
          <w:szCs w:val="22"/>
        </w:rPr>
      </w:pPr>
      <w:r>
        <w:rPr>
          <w:sz w:val="22"/>
          <w:szCs w:val="22"/>
        </w:rPr>
        <w:t>Burlington Northern R.R. Co.; a taconite loading and storage facility (direct)</w:t>
      </w:r>
    </w:p>
    <w:p w:rsidR="00E72038" w:rsidRDefault="00E72038" w:rsidP="00E72038">
      <w:pPr>
        <w:pStyle w:val="ListParagraph"/>
        <w:numPr>
          <w:ilvl w:val="0"/>
          <w:numId w:val="1"/>
        </w:numPr>
        <w:rPr>
          <w:sz w:val="22"/>
          <w:szCs w:val="22"/>
        </w:rPr>
      </w:pPr>
      <w:proofErr w:type="spellStart"/>
      <w:r>
        <w:rPr>
          <w:sz w:val="22"/>
          <w:szCs w:val="22"/>
        </w:rPr>
        <w:t>Lakehead</w:t>
      </w:r>
      <w:proofErr w:type="spellEnd"/>
      <w:r>
        <w:rPr>
          <w:sz w:val="22"/>
          <w:szCs w:val="22"/>
        </w:rPr>
        <w:t xml:space="preserve"> Pipeline Co.; oil storage tanks (direct)</w:t>
      </w:r>
    </w:p>
    <w:p w:rsidR="00E72038" w:rsidRDefault="00E72038" w:rsidP="00E72038">
      <w:pPr>
        <w:pStyle w:val="ListParagraph"/>
        <w:numPr>
          <w:ilvl w:val="0"/>
          <w:numId w:val="1"/>
        </w:numPr>
        <w:rPr>
          <w:sz w:val="22"/>
          <w:szCs w:val="22"/>
        </w:rPr>
      </w:pPr>
      <w:r>
        <w:rPr>
          <w:sz w:val="22"/>
          <w:szCs w:val="22"/>
        </w:rPr>
        <w:t>Superior Sewage Disposal System; municipal wastewater (direct)</w:t>
      </w:r>
    </w:p>
    <w:p w:rsidR="00E72038" w:rsidRDefault="00E72038" w:rsidP="00E72038">
      <w:pPr>
        <w:pStyle w:val="ListParagraph"/>
        <w:numPr>
          <w:ilvl w:val="0"/>
          <w:numId w:val="1"/>
        </w:numPr>
        <w:rPr>
          <w:sz w:val="22"/>
          <w:szCs w:val="22"/>
        </w:rPr>
      </w:pPr>
      <w:r>
        <w:rPr>
          <w:sz w:val="22"/>
          <w:szCs w:val="22"/>
        </w:rPr>
        <w:t xml:space="preserve">Four Corners School; school wastewater (indirect via unnamed tributary and Copper Creek to the </w:t>
      </w:r>
      <w:proofErr w:type="spellStart"/>
      <w:r>
        <w:rPr>
          <w:sz w:val="22"/>
          <w:szCs w:val="22"/>
        </w:rPr>
        <w:t>Nemadji</w:t>
      </w:r>
      <w:proofErr w:type="spellEnd"/>
      <w:r>
        <w:rPr>
          <w:sz w:val="22"/>
          <w:szCs w:val="22"/>
        </w:rPr>
        <w:t xml:space="preserve"> River)</w:t>
      </w:r>
    </w:p>
    <w:p w:rsidR="00E72038" w:rsidRDefault="00E72038" w:rsidP="00E72038">
      <w:pPr>
        <w:rPr>
          <w:sz w:val="22"/>
          <w:szCs w:val="22"/>
        </w:rPr>
      </w:pPr>
    </w:p>
    <w:p w:rsidR="00BD3778" w:rsidRDefault="00E72038" w:rsidP="00BD3778">
      <w:pPr>
        <w:rPr>
          <w:sz w:val="22"/>
          <w:szCs w:val="22"/>
        </w:rPr>
      </w:pPr>
      <w:r>
        <w:rPr>
          <w:sz w:val="22"/>
          <w:szCs w:val="22"/>
        </w:rPr>
        <w:t xml:space="preserve">The three direct discharges all enter the </w:t>
      </w:r>
      <w:proofErr w:type="spellStart"/>
      <w:r>
        <w:rPr>
          <w:sz w:val="22"/>
          <w:szCs w:val="22"/>
        </w:rPr>
        <w:t>Nemadji</w:t>
      </w:r>
      <w:proofErr w:type="spellEnd"/>
      <w:r>
        <w:rPr>
          <w:sz w:val="22"/>
          <w:szCs w:val="22"/>
        </w:rPr>
        <w:t xml:space="preserve"> River downstream of the </w:t>
      </w:r>
      <w:proofErr w:type="spellStart"/>
      <w:r>
        <w:rPr>
          <w:sz w:val="22"/>
          <w:szCs w:val="22"/>
        </w:rPr>
        <w:t>Nemadji</w:t>
      </w:r>
      <w:proofErr w:type="spellEnd"/>
      <w:r>
        <w:rPr>
          <w:sz w:val="22"/>
          <w:szCs w:val="22"/>
        </w:rPr>
        <w:t xml:space="preserve"> River monitoring site at CTH C.  Monitoring the </w:t>
      </w:r>
      <w:proofErr w:type="spellStart"/>
      <w:r>
        <w:rPr>
          <w:sz w:val="22"/>
          <w:szCs w:val="22"/>
        </w:rPr>
        <w:t>Nemadji</w:t>
      </w:r>
      <w:proofErr w:type="spellEnd"/>
      <w:r>
        <w:rPr>
          <w:sz w:val="22"/>
          <w:szCs w:val="22"/>
        </w:rPr>
        <w:t xml:space="preserve"> River downstream</w:t>
      </w:r>
      <w:r w:rsidR="00DD028F">
        <w:rPr>
          <w:sz w:val="22"/>
          <w:szCs w:val="22"/>
        </w:rPr>
        <w:t xml:space="preserve"> of CTH C</w:t>
      </w:r>
      <w:r>
        <w:rPr>
          <w:sz w:val="22"/>
          <w:szCs w:val="22"/>
        </w:rPr>
        <w:t xml:space="preserve"> is difficult due to lack of access points and periodic backflows caused by Lake Superior </w:t>
      </w:r>
      <w:proofErr w:type="spellStart"/>
      <w:r>
        <w:rPr>
          <w:sz w:val="22"/>
          <w:szCs w:val="22"/>
        </w:rPr>
        <w:t>seiches</w:t>
      </w:r>
      <w:proofErr w:type="spellEnd"/>
      <w:r>
        <w:rPr>
          <w:sz w:val="22"/>
          <w:szCs w:val="22"/>
        </w:rPr>
        <w:t>.  The Four Corners School discharge is very small and located far upstream.</w:t>
      </w:r>
      <w:r w:rsidRPr="0060659C">
        <w:rPr>
          <w:sz w:val="22"/>
          <w:szCs w:val="22"/>
        </w:rPr>
        <w:t xml:space="preserve"> </w:t>
      </w:r>
      <w:r w:rsidRPr="0060659C">
        <w:rPr>
          <w:sz w:val="22"/>
          <w:szCs w:val="22"/>
        </w:rPr>
        <w:br/>
      </w:r>
    </w:p>
    <w:p w:rsidR="00BD3778" w:rsidRPr="00BD3778" w:rsidRDefault="00BD3778" w:rsidP="00BD3778">
      <w:pPr>
        <w:rPr>
          <w:sz w:val="22"/>
          <w:szCs w:val="22"/>
        </w:rPr>
      </w:pPr>
      <w:r w:rsidRPr="00BD3778">
        <w:rPr>
          <w:sz w:val="22"/>
          <w:szCs w:val="22"/>
        </w:rPr>
        <w:t>The data collected from this monitoring project does not support 303d listing of any of the other streams</w:t>
      </w:r>
      <w:r>
        <w:rPr>
          <w:sz w:val="22"/>
          <w:szCs w:val="22"/>
        </w:rPr>
        <w:t xml:space="preserve"> monitored (see discussion on p. 18).</w:t>
      </w:r>
    </w:p>
    <w:p w:rsidR="00E72038" w:rsidRDefault="00E72038" w:rsidP="00E72038">
      <w:pPr>
        <w:rPr>
          <w:sz w:val="22"/>
          <w:szCs w:val="22"/>
        </w:rPr>
      </w:pPr>
    </w:p>
    <w:p w:rsidR="00E72038" w:rsidRDefault="00E72038" w:rsidP="00E72038">
      <w:pPr>
        <w:rPr>
          <w:sz w:val="22"/>
          <w:szCs w:val="22"/>
        </w:rPr>
      </w:pPr>
      <w:r>
        <w:rPr>
          <w:b/>
          <w:sz w:val="22"/>
          <w:szCs w:val="22"/>
          <w:u w:val="single"/>
        </w:rPr>
        <w:t>Methods</w:t>
      </w:r>
    </w:p>
    <w:p w:rsidR="00E72038" w:rsidRDefault="00E72038" w:rsidP="00E72038">
      <w:pPr>
        <w:rPr>
          <w:sz w:val="22"/>
          <w:szCs w:val="22"/>
        </w:rPr>
      </w:pPr>
    </w:p>
    <w:p w:rsidR="00E72038" w:rsidRDefault="00E72038" w:rsidP="00E72038">
      <w:pPr>
        <w:rPr>
          <w:sz w:val="22"/>
          <w:szCs w:val="22"/>
        </w:rPr>
      </w:pPr>
      <w:r>
        <w:rPr>
          <w:sz w:val="22"/>
          <w:szCs w:val="22"/>
        </w:rPr>
        <w:t>One or more sites were monitored on each of the six streams:</w:t>
      </w:r>
    </w:p>
    <w:p w:rsidR="00E72038" w:rsidRDefault="00E72038" w:rsidP="00E72038">
      <w:pPr>
        <w:rPr>
          <w:sz w:val="22"/>
          <w:szCs w:val="22"/>
        </w:rPr>
      </w:pPr>
    </w:p>
    <w:p w:rsidR="00E72038" w:rsidRDefault="00E72038" w:rsidP="00E72038">
      <w:pPr>
        <w:pStyle w:val="ListParagraph"/>
        <w:numPr>
          <w:ilvl w:val="0"/>
          <w:numId w:val="1"/>
        </w:numPr>
        <w:rPr>
          <w:sz w:val="22"/>
          <w:szCs w:val="22"/>
        </w:rPr>
      </w:pPr>
      <w:proofErr w:type="spellStart"/>
      <w:r>
        <w:rPr>
          <w:sz w:val="22"/>
          <w:szCs w:val="22"/>
        </w:rPr>
        <w:t>Nemadji</w:t>
      </w:r>
      <w:proofErr w:type="spellEnd"/>
      <w:r>
        <w:rPr>
          <w:sz w:val="22"/>
          <w:szCs w:val="22"/>
        </w:rPr>
        <w:t xml:space="preserve"> River – 3 sites</w:t>
      </w:r>
    </w:p>
    <w:p w:rsidR="00E72038" w:rsidRDefault="00E72038" w:rsidP="00E72038">
      <w:pPr>
        <w:pStyle w:val="ListParagraph"/>
        <w:numPr>
          <w:ilvl w:val="0"/>
          <w:numId w:val="1"/>
        </w:numPr>
        <w:rPr>
          <w:sz w:val="22"/>
          <w:szCs w:val="22"/>
        </w:rPr>
      </w:pPr>
      <w:r>
        <w:rPr>
          <w:sz w:val="22"/>
          <w:szCs w:val="22"/>
        </w:rPr>
        <w:t>Crawford Creek – 3 sites</w:t>
      </w:r>
    </w:p>
    <w:p w:rsidR="00E72038" w:rsidRDefault="00E72038" w:rsidP="00E72038">
      <w:pPr>
        <w:pStyle w:val="ListParagraph"/>
        <w:numPr>
          <w:ilvl w:val="0"/>
          <w:numId w:val="1"/>
        </w:numPr>
        <w:rPr>
          <w:sz w:val="22"/>
          <w:szCs w:val="22"/>
        </w:rPr>
      </w:pPr>
      <w:r>
        <w:rPr>
          <w:sz w:val="22"/>
          <w:szCs w:val="22"/>
        </w:rPr>
        <w:t>Black River – 1 site</w:t>
      </w:r>
    </w:p>
    <w:p w:rsidR="00E72038" w:rsidRDefault="00E72038" w:rsidP="00E72038">
      <w:pPr>
        <w:pStyle w:val="ListParagraph"/>
        <w:numPr>
          <w:ilvl w:val="0"/>
          <w:numId w:val="1"/>
        </w:numPr>
        <w:rPr>
          <w:sz w:val="22"/>
          <w:szCs w:val="22"/>
        </w:rPr>
      </w:pPr>
      <w:r>
        <w:rPr>
          <w:sz w:val="22"/>
          <w:szCs w:val="22"/>
        </w:rPr>
        <w:t>Balsam Creek – 1 site</w:t>
      </w:r>
    </w:p>
    <w:p w:rsidR="00E72038" w:rsidRDefault="00E72038" w:rsidP="00E72038">
      <w:pPr>
        <w:pStyle w:val="ListParagraph"/>
        <w:numPr>
          <w:ilvl w:val="0"/>
          <w:numId w:val="1"/>
        </w:numPr>
        <w:rPr>
          <w:sz w:val="22"/>
          <w:szCs w:val="22"/>
        </w:rPr>
      </w:pPr>
      <w:r>
        <w:rPr>
          <w:sz w:val="22"/>
          <w:szCs w:val="22"/>
        </w:rPr>
        <w:t>Clear Creek – 3 sites</w:t>
      </w:r>
    </w:p>
    <w:p w:rsidR="00E72038" w:rsidRPr="00810DF9" w:rsidRDefault="00E72038" w:rsidP="00E72038">
      <w:pPr>
        <w:pStyle w:val="ListParagraph"/>
        <w:numPr>
          <w:ilvl w:val="0"/>
          <w:numId w:val="1"/>
        </w:numPr>
        <w:rPr>
          <w:sz w:val="22"/>
          <w:szCs w:val="22"/>
        </w:rPr>
      </w:pPr>
      <w:r>
        <w:rPr>
          <w:sz w:val="22"/>
          <w:szCs w:val="22"/>
        </w:rPr>
        <w:t>Mud Creek – 2 sites</w:t>
      </w:r>
    </w:p>
    <w:p w:rsidR="00E72038" w:rsidRDefault="00E72038" w:rsidP="00E72038">
      <w:pPr>
        <w:rPr>
          <w:sz w:val="22"/>
          <w:szCs w:val="22"/>
        </w:rPr>
      </w:pPr>
    </w:p>
    <w:p w:rsidR="00E72038" w:rsidRDefault="00E72038" w:rsidP="00E72038">
      <w:pPr>
        <w:rPr>
          <w:sz w:val="22"/>
          <w:szCs w:val="22"/>
        </w:rPr>
      </w:pPr>
      <w:r>
        <w:rPr>
          <w:sz w:val="22"/>
          <w:szCs w:val="22"/>
        </w:rPr>
        <w:t xml:space="preserve">Monitoring was done for fish and </w:t>
      </w:r>
      <w:proofErr w:type="spellStart"/>
      <w:r>
        <w:rPr>
          <w:sz w:val="22"/>
          <w:szCs w:val="22"/>
        </w:rPr>
        <w:t>macroinvertebrate</w:t>
      </w:r>
      <w:proofErr w:type="spellEnd"/>
      <w:r>
        <w:rPr>
          <w:sz w:val="22"/>
          <w:szCs w:val="22"/>
        </w:rPr>
        <w:t xml:space="preserve"> communities, water chemistry, and stream habitat.  The range of monitoring at each site varied (table 1).  </w:t>
      </w:r>
    </w:p>
    <w:p w:rsidR="00E72038" w:rsidRDefault="00E72038" w:rsidP="00E72038">
      <w:pPr>
        <w:rPr>
          <w:sz w:val="22"/>
          <w:szCs w:val="22"/>
        </w:rPr>
      </w:pPr>
    </w:p>
    <w:p w:rsidR="00E72038" w:rsidRDefault="00E72038" w:rsidP="00E72038">
      <w:pPr>
        <w:rPr>
          <w:sz w:val="22"/>
          <w:szCs w:val="22"/>
        </w:rPr>
      </w:pPr>
      <w:r>
        <w:rPr>
          <w:sz w:val="22"/>
          <w:szCs w:val="22"/>
        </w:rPr>
        <w:t xml:space="preserve">Fish communities were assessed by electrofishing with a single anode backpack shocker on small stream sites, and a double anode tow barge stream shocker on larger stream sites.  As many fish as possible were captured with a single upstream pass.  Station lengths were 35 times the mean stream width, with a minimum length of 100 meters.  Fish captured were counted and identified to species.  Fish community data was used to determine the natural community of the stream, and to calculate potentially appropriate biotic indices.  </w:t>
      </w:r>
    </w:p>
    <w:p w:rsidR="00E72038" w:rsidRDefault="00E72038" w:rsidP="00E72038">
      <w:pPr>
        <w:rPr>
          <w:sz w:val="22"/>
          <w:szCs w:val="22"/>
        </w:rPr>
      </w:pPr>
    </w:p>
    <w:p w:rsidR="00E72038" w:rsidRDefault="00E72038" w:rsidP="00E72038">
      <w:pPr>
        <w:rPr>
          <w:sz w:val="22"/>
          <w:szCs w:val="22"/>
        </w:rPr>
      </w:pPr>
      <w:proofErr w:type="spellStart"/>
      <w:r>
        <w:rPr>
          <w:sz w:val="22"/>
          <w:szCs w:val="22"/>
        </w:rPr>
        <w:t>Macroinvertebrate</w:t>
      </w:r>
      <w:proofErr w:type="spellEnd"/>
      <w:r>
        <w:rPr>
          <w:sz w:val="22"/>
          <w:szCs w:val="22"/>
        </w:rPr>
        <w:t xml:space="preserve"> communities were assessed by collecting kick samples from riffles, using a 500 um mesh D-frame net.  Samples were preserved in 85% ethanol and were processed by UW – Stevens Point’s Aquatic </w:t>
      </w:r>
      <w:proofErr w:type="spellStart"/>
      <w:r>
        <w:rPr>
          <w:sz w:val="22"/>
          <w:szCs w:val="22"/>
        </w:rPr>
        <w:t>Biomonitoring</w:t>
      </w:r>
      <w:proofErr w:type="spellEnd"/>
      <w:r>
        <w:rPr>
          <w:sz w:val="22"/>
          <w:szCs w:val="22"/>
        </w:rPr>
        <w:t xml:space="preserve"> Lab.  </w:t>
      </w:r>
      <w:proofErr w:type="spellStart"/>
      <w:r>
        <w:rPr>
          <w:sz w:val="22"/>
          <w:szCs w:val="22"/>
        </w:rPr>
        <w:t>Macroinvertebrates</w:t>
      </w:r>
      <w:proofErr w:type="spellEnd"/>
      <w:r>
        <w:rPr>
          <w:sz w:val="22"/>
          <w:szCs w:val="22"/>
        </w:rPr>
        <w:t xml:space="preserve"> were counted and identified to the lowest possible taxa.  Biotic indices and other statistics were generated.</w:t>
      </w:r>
    </w:p>
    <w:p w:rsidR="00E72038" w:rsidRDefault="00E72038" w:rsidP="00E72038">
      <w:pPr>
        <w:rPr>
          <w:sz w:val="22"/>
          <w:szCs w:val="22"/>
        </w:rPr>
      </w:pPr>
    </w:p>
    <w:p w:rsidR="00E72038" w:rsidRDefault="00E72038" w:rsidP="00E72038">
      <w:pPr>
        <w:rPr>
          <w:sz w:val="22"/>
          <w:szCs w:val="22"/>
        </w:rPr>
      </w:pPr>
      <w:r>
        <w:rPr>
          <w:sz w:val="22"/>
          <w:szCs w:val="22"/>
        </w:rPr>
        <w:t>Water samples were collected and field parameters were measured following standard DNR protocols.  Water samples were preserved, as needed, and shipped on ice to the Wisconsin State Lab of Hygiene for analysis.  Field parameters measured were:</w:t>
      </w:r>
    </w:p>
    <w:p w:rsidR="00E72038" w:rsidRDefault="00E72038" w:rsidP="00E72038">
      <w:pPr>
        <w:pStyle w:val="ListParagraph"/>
        <w:numPr>
          <w:ilvl w:val="0"/>
          <w:numId w:val="2"/>
        </w:numPr>
        <w:rPr>
          <w:sz w:val="22"/>
          <w:szCs w:val="22"/>
        </w:rPr>
      </w:pPr>
      <w:r>
        <w:rPr>
          <w:sz w:val="22"/>
          <w:szCs w:val="22"/>
        </w:rPr>
        <w:t>Temperature</w:t>
      </w:r>
    </w:p>
    <w:p w:rsidR="00E72038" w:rsidRDefault="00E72038" w:rsidP="00E72038">
      <w:pPr>
        <w:pStyle w:val="ListParagraph"/>
        <w:numPr>
          <w:ilvl w:val="0"/>
          <w:numId w:val="2"/>
        </w:numPr>
        <w:rPr>
          <w:sz w:val="22"/>
          <w:szCs w:val="22"/>
        </w:rPr>
      </w:pPr>
      <w:r>
        <w:rPr>
          <w:sz w:val="22"/>
          <w:szCs w:val="22"/>
        </w:rPr>
        <w:t>pH</w:t>
      </w:r>
    </w:p>
    <w:p w:rsidR="00E72038" w:rsidRDefault="00E72038" w:rsidP="00E72038">
      <w:pPr>
        <w:pStyle w:val="ListParagraph"/>
        <w:numPr>
          <w:ilvl w:val="0"/>
          <w:numId w:val="2"/>
        </w:numPr>
        <w:rPr>
          <w:sz w:val="22"/>
          <w:szCs w:val="22"/>
        </w:rPr>
      </w:pPr>
      <w:r>
        <w:rPr>
          <w:sz w:val="22"/>
          <w:szCs w:val="22"/>
        </w:rPr>
        <w:t>Dissolved Oxygen</w:t>
      </w:r>
    </w:p>
    <w:p w:rsidR="00E72038" w:rsidRDefault="00E72038" w:rsidP="00E72038">
      <w:pPr>
        <w:pStyle w:val="ListParagraph"/>
        <w:numPr>
          <w:ilvl w:val="0"/>
          <w:numId w:val="2"/>
        </w:numPr>
        <w:rPr>
          <w:sz w:val="22"/>
          <w:szCs w:val="22"/>
        </w:rPr>
      </w:pPr>
      <w:r>
        <w:rPr>
          <w:sz w:val="22"/>
          <w:szCs w:val="22"/>
        </w:rPr>
        <w:t>Conductivity</w:t>
      </w:r>
    </w:p>
    <w:p w:rsidR="00E72038" w:rsidRDefault="00E72038" w:rsidP="00E72038">
      <w:pPr>
        <w:pStyle w:val="ListParagraph"/>
        <w:numPr>
          <w:ilvl w:val="0"/>
          <w:numId w:val="2"/>
        </w:numPr>
        <w:rPr>
          <w:sz w:val="22"/>
          <w:szCs w:val="22"/>
        </w:rPr>
      </w:pPr>
      <w:r>
        <w:rPr>
          <w:sz w:val="22"/>
          <w:szCs w:val="22"/>
        </w:rPr>
        <w:t>Transparency (using a transparency tube)</w:t>
      </w:r>
    </w:p>
    <w:p w:rsidR="00977B74" w:rsidRDefault="00E72038" w:rsidP="00BD3778">
      <w:pPr>
        <w:rPr>
          <w:sz w:val="22"/>
          <w:szCs w:val="22"/>
        </w:rPr>
      </w:pPr>
      <w:r>
        <w:rPr>
          <w:sz w:val="22"/>
          <w:szCs w:val="22"/>
        </w:rPr>
        <w:br w:type="page"/>
      </w:r>
    </w:p>
    <w:p w:rsidR="00FB42A0" w:rsidRDefault="00FB42A0" w:rsidP="00BD3778">
      <w:pPr>
        <w:rPr>
          <w:sz w:val="22"/>
          <w:szCs w:val="22"/>
        </w:rPr>
        <w:sectPr w:rsidR="00FB42A0" w:rsidSect="00977B74">
          <w:pgSz w:w="12240" w:h="15840"/>
          <w:pgMar w:top="1440" w:right="720" w:bottom="1440" w:left="720" w:header="720" w:footer="720" w:gutter="0"/>
          <w:cols w:space="720"/>
        </w:sectPr>
      </w:pPr>
    </w:p>
    <w:p w:rsidR="00FB42A0" w:rsidRDefault="00FB42A0" w:rsidP="00BD3778">
      <w:pPr>
        <w:rPr>
          <w:sz w:val="22"/>
          <w:szCs w:val="22"/>
        </w:rPr>
      </w:pPr>
    </w:p>
    <w:p w:rsidR="00977B74" w:rsidRDefault="00977B74" w:rsidP="00977B74">
      <w:pPr>
        <w:jc w:val="center"/>
        <w:rPr>
          <w:sz w:val="22"/>
          <w:szCs w:val="22"/>
        </w:rPr>
      </w:pPr>
      <w:r>
        <w:rPr>
          <w:noProof/>
          <w:sz w:val="22"/>
          <w:szCs w:val="22"/>
        </w:rPr>
        <w:drawing>
          <wp:inline distT="0" distB="0" distL="0" distR="0" wp14:anchorId="0A70284C" wp14:editId="0BC6AAC7">
            <wp:extent cx="6858000" cy="3700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SITE INFO.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700145"/>
                    </a:xfrm>
                    <a:prstGeom prst="rect">
                      <a:avLst/>
                    </a:prstGeom>
                  </pic:spPr>
                </pic:pic>
              </a:graphicData>
            </a:graphic>
          </wp:inline>
        </w:drawing>
      </w:r>
    </w:p>
    <w:p w:rsidR="00977B74" w:rsidRDefault="00977B74" w:rsidP="00977B74">
      <w:pPr>
        <w:jc w:val="center"/>
        <w:rPr>
          <w:sz w:val="22"/>
          <w:szCs w:val="22"/>
        </w:rPr>
      </w:pPr>
    </w:p>
    <w:p w:rsidR="00977B74" w:rsidRDefault="00977B74" w:rsidP="00977B74">
      <w:pPr>
        <w:jc w:val="center"/>
        <w:rPr>
          <w:sz w:val="22"/>
          <w:szCs w:val="22"/>
        </w:rPr>
      </w:pPr>
    </w:p>
    <w:p w:rsidR="00977B74" w:rsidRDefault="00977B74" w:rsidP="00977B74">
      <w:pPr>
        <w:jc w:val="center"/>
        <w:rPr>
          <w:sz w:val="22"/>
          <w:szCs w:val="22"/>
        </w:rPr>
      </w:pPr>
    </w:p>
    <w:p w:rsidR="00402C0B" w:rsidRDefault="00402C0B" w:rsidP="00977B74">
      <w:pPr>
        <w:jc w:val="center"/>
        <w:rPr>
          <w:sz w:val="22"/>
          <w:szCs w:val="22"/>
        </w:rPr>
        <w:sectPr w:rsidR="00402C0B" w:rsidSect="00FB42A0">
          <w:type w:val="continuous"/>
          <w:pgSz w:w="12240" w:h="15840"/>
          <w:pgMar w:top="1440" w:right="720" w:bottom="1440" w:left="720" w:header="720" w:footer="720" w:gutter="0"/>
          <w:cols w:space="720"/>
        </w:sectPr>
      </w:pPr>
    </w:p>
    <w:p w:rsidR="00402C0B" w:rsidRDefault="00402C0B" w:rsidP="00402C0B">
      <w:pPr>
        <w:rPr>
          <w:sz w:val="22"/>
          <w:szCs w:val="22"/>
        </w:rPr>
      </w:pPr>
      <w:r>
        <w:rPr>
          <w:sz w:val="22"/>
          <w:szCs w:val="22"/>
        </w:rPr>
        <w:lastRenderedPageBreak/>
        <w:t>Lab parameters were:</w:t>
      </w:r>
    </w:p>
    <w:p w:rsidR="00402C0B" w:rsidRDefault="00402C0B" w:rsidP="00402C0B">
      <w:pPr>
        <w:pStyle w:val="ListParagraph"/>
        <w:numPr>
          <w:ilvl w:val="0"/>
          <w:numId w:val="2"/>
        </w:numPr>
        <w:rPr>
          <w:sz w:val="22"/>
          <w:szCs w:val="22"/>
        </w:rPr>
      </w:pPr>
      <w:r>
        <w:rPr>
          <w:sz w:val="22"/>
          <w:szCs w:val="22"/>
        </w:rPr>
        <w:t>Total Phosphorus</w:t>
      </w:r>
    </w:p>
    <w:p w:rsidR="00402C0B" w:rsidRDefault="00402C0B" w:rsidP="00402C0B">
      <w:pPr>
        <w:pStyle w:val="ListParagraph"/>
        <w:numPr>
          <w:ilvl w:val="0"/>
          <w:numId w:val="2"/>
        </w:numPr>
        <w:rPr>
          <w:sz w:val="22"/>
          <w:szCs w:val="22"/>
        </w:rPr>
      </w:pPr>
      <w:r>
        <w:rPr>
          <w:sz w:val="22"/>
          <w:szCs w:val="22"/>
        </w:rPr>
        <w:t>Ammonia – N</w:t>
      </w:r>
    </w:p>
    <w:p w:rsidR="00402C0B" w:rsidRDefault="00402C0B" w:rsidP="00402C0B">
      <w:pPr>
        <w:pStyle w:val="ListParagraph"/>
        <w:numPr>
          <w:ilvl w:val="0"/>
          <w:numId w:val="2"/>
        </w:numPr>
        <w:rPr>
          <w:sz w:val="22"/>
          <w:szCs w:val="22"/>
        </w:rPr>
      </w:pPr>
      <w:r>
        <w:rPr>
          <w:sz w:val="22"/>
          <w:szCs w:val="22"/>
        </w:rPr>
        <w:t xml:space="preserve">Total </w:t>
      </w:r>
      <w:proofErr w:type="spellStart"/>
      <w:r>
        <w:rPr>
          <w:sz w:val="22"/>
          <w:szCs w:val="22"/>
        </w:rPr>
        <w:t>Kjeldahl</w:t>
      </w:r>
      <w:proofErr w:type="spellEnd"/>
      <w:r>
        <w:rPr>
          <w:sz w:val="22"/>
          <w:szCs w:val="22"/>
        </w:rPr>
        <w:t xml:space="preserve"> N</w:t>
      </w:r>
    </w:p>
    <w:p w:rsidR="00402C0B" w:rsidRDefault="00402C0B" w:rsidP="00402C0B">
      <w:pPr>
        <w:pStyle w:val="ListParagraph"/>
        <w:numPr>
          <w:ilvl w:val="0"/>
          <w:numId w:val="2"/>
        </w:numPr>
        <w:rPr>
          <w:sz w:val="22"/>
          <w:szCs w:val="22"/>
        </w:rPr>
      </w:pPr>
      <w:r>
        <w:rPr>
          <w:sz w:val="22"/>
          <w:szCs w:val="22"/>
        </w:rPr>
        <w:t>Nitrate plus Nitrite – N</w:t>
      </w:r>
    </w:p>
    <w:p w:rsidR="00402C0B" w:rsidRDefault="00402C0B" w:rsidP="00402C0B">
      <w:pPr>
        <w:pStyle w:val="ListParagraph"/>
        <w:numPr>
          <w:ilvl w:val="0"/>
          <w:numId w:val="2"/>
        </w:numPr>
        <w:rPr>
          <w:sz w:val="22"/>
          <w:szCs w:val="22"/>
        </w:rPr>
      </w:pPr>
      <w:r>
        <w:rPr>
          <w:sz w:val="22"/>
          <w:szCs w:val="22"/>
        </w:rPr>
        <w:t>Total Suspended Solids</w:t>
      </w:r>
    </w:p>
    <w:p w:rsidR="00402C0B" w:rsidRDefault="00402C0B" w:rsidP="00402C0B">
      <w:pPr>
        <w:pStyle w:val="ListParagraph"/>
        <w:numPr>
          <w:ilvl w:val="0"/>
          <w:numId w:val="2"/>
        </w:numPr>
        <w:rPr>
          <w:sz w:val="22"/>
          <w:szCs w:val="22"/>
        </w:rPr>
      </w:pPr>
      <w:r>
        <w:rPr>
          <w:sz w:val="22"/>
          <w:szCs w:val="22"/>
        </w:rPr>
        <w:t>Turbidity</w:t>
      </w:r>
    </w:p>
    <w:p w:rsidR="00402C0B" w:rsidRDefault="00402C0B" w:rsidP="00402C0B">
      <w:pPr>
        <w:pStyle w:val="ListParagraph"/>
        <w:numPr>
          <w:ilvl w:val="0"/>
          <w:numId w:val="2"/>
        </w:numPr>
        <w:rPr>
          <w:sz w:val="22"/>
          <w:szCs w:val="22"/>
        </w:rPr>
      </w:pPr>
      <w:r>
        <w:rPr>
          <w:sz w:val="22"/>
          <w:szCs w:val="22"/>
        </w:rPr>
        <w:t xml:space="preserve">Chlorophyll </w:t>
      </w:r>
      <w:r>
        <w:rPr>
          <w:sz w:val="22"/>
          <w:szCs w:val="22"/>
          <w:u w:val="single"/>
        </w:rPr>
        <w:t>a</w:t>
      </w:r>
    </w:p>
    <w:p w:rsidR="00402C0B" w:rsidRDefault="00402C0B" w:rsidP="00402C0B">
      <w:pPr>
        <w:pStyle w:val="ListParagraph"/>
        <w:numPr>
          <w:ilvl w:val="0"/>
          <w:numId w:val="2"/>
        </w:numPr>
        <w:rPr>
          <w:sz w:val="22"/>
          <w:szCs w:val="22"/>
        </w:rPr>
      </w:pPr>
      <w:r>
        <w:rPr>
          <w:sz w:val="22"/>
          <w:szCs w:val="22"/>
        </w:rPr>
        <w:t>Dissolved phosphorus</w:t>
      </w:r>
    </w:p>
    <w:p w:rsidR="00402C0B" w:rsidRDefault="00402C0B" w:rsidP="00402C0B">
      <w:pPr>
        <w:rPr>
          <w:sz w:val="22"/>
          <w:szCs w:val="22"/>
        </w:rPr>
      </w:pPr>
    </w:p>
    <w:p w:rsidR="00402C0B" w:rsidRDefault="00402C0B" w:rsidP="00402C0B">
      <w:pPr>
        <w:rPr>
          <w:sz w:val="22"/>
          <w:szCs w:val="22"/>
        </w:rPr>
      </w:pPr>
      <w:r w:rsidRPr="009F52EA">
        <w:rPr>
          <w:sz w:val="22"/>
          <w:szCs w:val="22"/>
        </w:rPr>
        <w:t xml:space="preserve"> </w:t>
      </w:r>
      <w:r>
        <w:rPr>
          <w:b/>
          <w:sz w:val="22"/>
          <w:szCs w:val="22"/>
          <w:u w:val="single"/>
        </w:rPr>
        <w:t>Findings and Discussion</w:t>
      </w:r>
    </w:p>
    <w:p w:rsidR="00402C0B" w:rsidRDefault="00402C0B" w:rsidP="00402C0B">
      <w:pPr>
        <w:rPr>
          <w:sz w:val="22"/>
          <w:szCs w:val="22"/>
        </w:rPr>
      </w:pPr>
    </w:p>
    <w:p w:rsidR="00402C0B" w:rsidRDefault="00402C0B" w:rsidP="00402C0B">
      <w:pPr>
        <w:rPr>
          <w:sz w:val="22"/>
          <w:szCs w:val="22"/>
        </w:rPr>
      </w:pPr>
      <w:r>
        <w:rPr>
          <w:sz w:val="22"/>
          <w:szCs w:val="22"/>
          <w:u w:val="single"/>
        </w:rPr>
        <w:t>Fish Communities</w:t>
      </w:r>
    </w:p>
    <w:p w:rsidR="00402C0B" w:rsidRDefault="00402C0B" w:rsidP="00402C0B">
      <w:pPr>
        <w:rPr>
          <w:sz w:val="22"/>
          <w:szCs w:val="22"/>
        </w:rPr>
      </w:pPr>
    </w:p>
    <w:p w:rsidR="00402C0B" w:rsidRDefault="00402C0B" w:rsidP="00402C0B">
      <w:pPr>
        <w:rPr>
          <w:sz w:val="22"/>
          <w:szCs w:val="22"/>
        </w:rPr>
      </w:pPr>
      <w:r>
        <w:rPr>
          <w:sz w:val="22"/>
          <w:szCs w:val="22"/>
        </w:rPr>
        <w:t xml:space="preserve">Complete fish survey results are contained in appendix A.  Fish </w:t>
      </w:r>
      <w:proofErr w:type="gramStart"/>
      <w:r>
        <w:rPr>
          <w:sz w:val="22"/>
          <w:szCs w:val="22"/>
        </w:rPr>
        <w:t>survey IBI’s (index of biotic integrity) are</w:t>
      </w:r>
      <w:proofErr w:type="gramEnd"/>
      <w:r>
        <w:rPr>
          <w:sz w:val="22"/>
          <w:szCs w:val="22"/>
        </w:rPr>
        <w:t xml:space="preserve"> summarized in table 2.</w:t>
      </w:r>
    </w:p>
    <w:p w:rsidR="00402C0B" w:rsidRDefault="00402C0B" w:rsidP="00402C0B">
      <w:pPr>
        <w:rPr>
          <w:sz w:val="22"/>
          <w:szCs w:val="22"/>
        </w:rPr>
      </w:pPr>
    </w:p>
    <w:p w:rsidR="00402C0B" w:rsidRDefault="00402C0B" w:rsidP="00402C0B">
      <w:pPr>
        <w:rPr>
          <w:sz w:val="22"/>
          <w:szCs w:val="22"/>
        </w:rPr>
      </w:pPr>
      <w:r>
        <w:rPr>
          <w:sz w:val="22"/>
          <w:szCs w:val="22"/>
        </w:rPr>
        <w:t xml:space="preserve">Fish community indices of biotic integrity (IBI) ranged from excellent to fair.  Sites on the </w:t>
      </w:r>
      <w:proofErr w:type="spellStart"/>
      <w:r>
        <w:rPr>
          <w:sz w:val="22"/>
          <w:szCs w:val="22"/>
        </w:rPr>
        <w:t>Nemadji</w:t>
      </w:r>
      <w:proofErr w:type="spellEnd"/>
      <w:r>
        <w:rPr>
          <w:sz w:val="22"/>
          <w:szCs w:val="22"/>
        </w:rPr>
        <w:t xml:space="preserve"> River, Black River, Balsam Creek, and Mud Creek had IBI ratings of excellent.  Clear Creek had IBI ratings of good.  </w:t>
      </w:r>
    </w:p>
    <w:p w:rsidR="00402C0B" w:rsidRDefault="00402C0B" w:rsidP="00402C0B">
      <w:pPr>
        <w:rPr>
          <w:sz w:val="22"/>
          <w:szCs w:val="22"/>
        </w:rPr>
      </w:pPr>
    </w:p>
    <w:p w:rsidR="00402C0B" w:rsidRDefault="00402C0B" w:rsidP="00402C0B">
      <w:pPr>
        <w:rPr>
          <w:sz w:val="22"/>
          <w:szCs w:val="22"/>
        </w:rPr>
      </w:pPr>
      <w:r>
        <w:rPr>
          <w:sz w:val="22"/>
          <w:szCs w:val="22"/>
        </w:rPr>
        <w:t xml:space="preserve">The Crawford Creek sites had the lowest IBI ratings of fair.  The percent of fish that are tolerant of environmental disturbances exceeded 75% at these sites (92-100%; table 2).  </w:t>
      </w:r>
      <w:r w:rsidR="00C11820">
        <w:rPr>
          <w:sz w:val="22"/>
          <w:szCs w:val="22"/>
        </w:rPr>
        <w:t xml:space="preserve">Seventy-five percent tolerant fish is </w:t>
      </w:r>
      <w:r>
        <w:rPr>
          <w:sz w:val="22"/>
          <w:szCs w:val="22"/>
        </w:rPr>
        <w:t xml:space="preserve">the maximum </w:t>
      </w:r>
      <w:r w:rsidR="00C11820">
        <w:rPr>
          <w:sz w:val="22"/>
          <w:szCs w:val="22"/>
        </w:rPr>
        <w:t xml:space="preserve">typically </w:t>
      </w:r>
      <w:r>
        <w:rPr>
          <w:sz w:val="22"/>
          <w:szCs w:val="22"/>
        </w:rPr>
        <w:t>expected in a Cool-Cold Headwater stream</w:t>
      </w:r>
      <w:r w:rsidR="00C11820">
        <w:rPr>
          <w:sz w:val="22"/>
          <w:szCs w:val="22"/>
        </w:rPr>
        <w:t xml:space="preserve">.  The high percentages of intolerant fish at the Crawford Creek sites </w:t>
      </w:r>
      <w:r>
        <w:rPr>
          <w:sz w:val="22"/>
          <w:szCs w:val="22"/>
        </w:rPr>
        <w:t>probably reflects the influence of erodible clay soils in a small watershed with moderate development</w:t>
      </w:r>
      <w:r w:rsidR="00C11820">
        <w:rPr>
          <w:sz w:val="22"/>
          <w:szCs w:val="22"/>
        </w:rPr>
        <w:t>, limited fish habitat, and very low base flows</w:t>
      </w:r>
      <w:r>
        <w:rPr>
          <w:sz w:val="22"/>
          <w:szCs w:val="22"/>
        </w:rPr>
        <w:t xml:space="preserve">.  </w:t>
      </w:r>
    </w:p>
    <w:p w:rsidR="00402C0B" w:rsidRDefault="00402C0B" w:rsidP="00402C0B">
      <w:pPr>
        <w:rPr>
          <w:sz w:val="22"/>
          <w:szCs w:val="22"/>
        </w:rPr>
      </w:pPr>
    </w:p>
    <w:p w:rsidR="00402C0B" w:rsidRDefault="00402C0B" w:rsidP="00402C0B">
      <w:pPr>
        <w:rPr>
          <w:sz w:val="22"/>
          <w:szCs w:val="22"/>
        </w:rPr>
      </w:pPr>
      <w:r>
        <w:rPr>
          <w:sz w:val="22"/>
          <w:szCs w:val="22"/>
        </w:rPr>
        <w:t xml:space="preserve">The stream sites varied in size and natural stream community types (table 2-2), from Cool-Cold Headwaters to Warm </w:t>
      </w:r>
      <w:proofErr w:type="spellStart"/>
      <w:r>
        <w:rPr>
          <w:sz w:val="22"/>
          <w:szCs w:val="22"/>
        </w:rPr>
        <w:t>Mainstems</w:t>
      </w:r>
      <w:proofErr w:type="spellEnd"/>
      <w:r>
        <w:rPr>
          <w:sz w:val="22"/>
          <w:szCs w:val="22"/>
        </w:rPr>
        <w:t xml:space="preserve">.  Clear Creek upstream of the ski trail was the only site where a </w:t>
      </w:r>
      <w:proofErr w:type="spellStart"/>
      <w:r>
        <w:rPr>
          <w:sz w:val="22"/>
          <w:szCs w:val="22"/>
        </w:rPr>
        <w:t>coldwater</w:t>
      </w:r>
      <w:proofErr w:type="spellEnd"/>
      <w:r>
        <w:rPr>
          <w:sz w:val="22"/>
          <w:szCs w:val="22"/>
        </w:rPr>
        <w:t xml:space="preserve"> species was found (mottled </w:t>
      </w:r>
      <w:proofErr w:type="spellStart"/>
      <w:r>
        <w:rPr>
          <w:sz w:val="22"/>
          <w:szCs w:val="22"/>
        </w:rPr>
        <w:t>sculpin</w:t>
      </w:r>
      <w:proofErr w:type="spellEnd"/>
      <w:r>
        <w:rPr>
          <w:sz w:val="22"/>
          <w:szCs w:val="22"/>
        </w:rPr>
        <w:t>; appendix A).</w:t>
      </w:r>
    </w:p>
    <w:p w:rsidR="00402C0B" w:rsidRDefault="00402C0B" w:rsidP="00402C0B">
      <w:pPr>
        <w:rPr>
          <w:sz w:val="22"/>
          <w:szCs w:val="22"/>
        </w:rPr>
      </w:pPr>
      <w:r>
        <w:rPr>
          <w:sz w:val="22"/>
          <w:szCs w:val="22"/>
        </w:rPr>
        <w:t xml:space="preserve">   </w:t>
      </w:r>
    </w:p>
    <w:p w:rsidR="00402C0B" w:rsidRDefault="00402C0B" w:rsidP="00402C0B">
      <w:pPr>
        <w:rPr>
          <w:sz w:val="22"/>
          <w:szCs w:val="22"/>
        </w:rPr>
      </w:pPr>
      <w:proofErr w:type="spellStart"/>
      <w:r>
        <w:rPr>
          <w:sz w:val="22"/>
          <w:szCs w:val="22"/>
          <w:u w:val="single"/>
        </w:rPr>
        <w:t>Macroinvertebrate</w:t>
      </w:r>
      <w:proofErr w:type="spellEnd"/>
      <w:r>
        <w:rPr>
          <w:sz w:val="22"/>
          <w:szCs w:val="22"/>
          <w:u w:val="single"/>
        </w:rPr>
        <w:t xml:space="preserve"> Communities</w:t>
      </w:r>
    </w:p>
    <w:p w:rsidR="00402C0B" w:rsidRDefault="00402C0B" w:rsidP="00402C0B">
      <w:pPr>
        <w:rPr>
          <w:sz w:val="22"/>
          <w:szCs w:val="22"/>
        </w:rPr>
      </w:pPr>
    </w:p>
    <w:p w:rsidR="00402C0B" w:rsidRDefault="00402C0B" w:rsidP="00402C0B">
      <w:pPr>
        <w:rPr>
          <w:sz w:val="22"/>
          <w:szCs w:val="22"/>
        </w:rPr>
      </w:pPr>
      <w:proofErr w:type="spellStart"/>
      <w:r>
        <w:rPr>
          <w:sz w:val="22"/>
          <w:szCs w:val="22"/>
        </w:rPr>
        <w:t>Macroinvertebrate</w:t>
      </w:r>
      <w:proofErr w:type="spellEnd"/>
      <w:r>
        <w:rPr>
          <w:sz w:val="22"/>
          <w:szCs w:val="22"/>
        </w:rPr>
        <w:t xml:space="preserve"> IBI (MIBI) ratings were excellent or good at all but one site (table 3).  The MIBI for Crawford Creek at CTH C was rated as fair.  MIBI ratings were generally similar to the IBI’s for the fish communities.  One exception was the Crawford Creek site at </w:t>
      </w:r>
      <w:proofErr w:type="spellStart"/>
      <w:r>
        <w:rPr>
          <w:sz w:val="22"/>
          <w:szCs w:val="22"/>
        </w:rPr>
        <w:t>Eskelson</w:t>
      </w:r>
      <w:proofErr w:type="spellEnd"/>
      <w:r>
        <w:rPr>
          <w:sz w:val="22"/>
          <w:szCs w:val="22"/>
        </w:rPr>
        <w:t xml:space="preserve"> Road, where the MIBI was excellent, while the fish IBI was only fair.  </w:t>
      </w:r>
    </w:p>
    <w:p w:rsidR="00402C0B" w:rsidRDefault="00402C0B" w:rsidP="00402C0B">
      <w:pPr>
        <w:rPr>
          <w:sz w:val="22"/>
          <w:szCs w:val="22"/>
        </w:rPr>
      </w:pPr>
    </w:p>
    <w:p w:rsidR="00402C0B" w:rsidRDefault="00402C0B" w:rsidP="00402C0B">
      <w:pPr>
        <w:rPr>
          <w:sz w:val="22"/>
          <w:szCs w:val="22"/>
        </w:rPr>
      </w:pPr>
      <w:proofErr w:type="spellStart"/>
      <w:r>
        <w:rPr>
          <w:sz w:val="22"/>
          <w:szCs w:val="22"/>
        </w:rPr>
        <w:t>Hilsenhoff</w:t>
      </w:r>
      <w:proofErr w:type="spellEnd"/>
      <w:r>
        <w:rPr>
          <w:sz w:val="22"/>
          <w:szCs w:val="22"/>
        </w:rPr>
        <w:t xml:space="preserve"> biotic index (HBI) ratings ranged from good to excellent.  HBI’s are mostly influenced by organic matter loading and the resultant dissolved oxygen concentrations.  The HBI’s suggest dissolved oxygen stress to </w:t>
      </w:r>
      <w:proofErr w:type="spellStart"/>
      <w:r>
        <w:rPr>
          <w:sz w:val="22"/>
          <w:szCs w:val="22"/>
        </w:rPr>
        <w:t>macroinvertebrates</w:t>
      </w:r>
      <w:proofErr w:type="spellEnd"/>
      <w:r>
        <w:rPr>
          <w:sz w:val="22"/>
          <w:szCs w:val="22"/>
        </w:rPr>
        <w:t xml:space="preserve"> is minimal.  </w:t>
      </w:r>
    </w:p>
    <w:p w:rsidR="00402C0B" w:rsidRDefault="00402C0B" w:rsidP="00402C0B">
      <w:pPr>
        <w:rPr>
          <w:sz w:val="22"/>
          <w:szCs w:val="22"/>
        </w:rPr>
      </w:pPr>
    </w:p>
    <w:p w:rsidR="00977B74" w:rsidRDefault="00977B74" w:rsidP="00977B74">
      <w:pPr>
        <w:jc w:val="center"/>
        <w:rPr>
          <w:sz w:val="22"/>
          <w:szCs w:val="22"/>
        </w:rPr>
      </w:pPr>
    </w:p>
    <w:p w:rsidR="00402C0B" w:rsidRDefault="00402C0B" w:rsidP="00977B74">
      <w:pPr>
        <w:jc w:val="center"/>
        <w:rPr>
          <w:sz w:val="22"/>
          <w:szCs w:val="22"/>
        </w:rPr>
        <w:sectPr w:rsidR="00402C0B" w:rsidSect="00402C0B">
          <w:pgSz w:w="12240" w:h="15840"/>
          <w:pgMar w:top="1440" w:right="1800" w:bottom="1440" w:left="1800" w:header="720" w:footer="720" w:gutter="0"/>
          <w:cols w:space="720"/>
          <w:docGrid w:linePitch="272"/>
        </w:sectPr>
      </w:pPr>
    </w:p>
    <w:p w:rsidR="00790C2E" w:rsidRDefault="00790C2E" w:rsidP="00977B74">
      <w:pPr>
        <w:jc w:val="center"/>
        <w:rPr>
          <w:sz w:val="22"/>
          <w:szCs w:val="22"/>
        </w:rPr>
        <w:sectPr w:rsidR="00790C2E" w:rsidSect="00402C0B">
          <w:pgSz w:w="12240" w:h="15840"/>
          <w:pgMar w:top="1440" w:right="1800" w:bottom="1440" w:left="1800" w:header="720" w:footer="720" w:gutter="0"/>
          <w:cols w:space="720"/>
          <w:docGrid w:linePitch="272"/>
        </w:sectPr>
      </w:pPr>
    </w:p>
    <w:p w:rsidR="00977B74" w:rsidRDefault="00977B74"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7AD3AFF7" wp14:editId="26129C08">
            <wp:extent cx="685800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FISH IBI.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401695"/>
                    </a:xfrm>
                    <a:prstGeom prst="rect">
                      <a:avLst/>
                    </a:prstGeom>
                  </pic:spPr>
                </pic:pic>
              </a:graphicData>
            </a:graphic>
          </wp:inline>
        </w:drawing>
      </w:r>
    </w:p>
    <w:p w:rsidR="00150999" w:rsidRDefault="00150999" w:rsidP="00977B74">
      <w:pPr>
        <w:jc w:val="center"/>
        <w:rPr>
          <w:sz w:val="22"/>
          <w:szCs w:val="22"/>
        </w:rPr>
      </w:pPr>
      <w:r>
        <w:rPr>
          <w:noProof/>
          <w:sz w:val="22"/>
          <w:szCs w:val="22"/>
        </w:rPr>
        <w:drawing>
          <wp:inline distT="0" distB="0" distL="0" distR="0" wp14:anchorId="32F897C7" wp14:editId="05E381F7">
            <wp:extent cx="4448175" cy="441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COMMS.JPG"/>
                    <pic:cNvPicPr/>
                  </pic:nvPicPr>
                  <pic:blipFill>
                    <a:blip r:embed="rId18">
                      <a:extLst>
                        <a:ext uri="{28A0092B-C50C-407E-A947-70E740481C1C}">
                          <a14:useLocalDpi xmlns:a14="http://schemas.microsoft.com/office/drawing/2010/main" val="0"/>
                        </a:ext>
                      </a:extLst>
                    </a:blip>
                    <a:stretch>
                      <a:fillRect/>
                    </a:stretch>
                  </pic:blipFill>
                  <pic:spPr>
                    <a:xfrm>
                      <a:off x="0" y="0"/>
                      <a:ext cx="4448175" cy="4410075"/>
                    </a:xfrm>
                    <a:prstGeom prst="rect">
                      <a:avLst/>
                    </a:prstGeom>
                  </pic:spPr>
                </pic:pic>
              </a:graphicData>
            </a:graphic>
          </wp:inline>
        </w:drawing>
      </w:r>
    </w:p>
    <w:p w:rsidR="00150999" w:rsidRDefault="00150999" w:rsidP="00150999">
      <w:pPr>
        <w:rPr>
          <w:sz w:val="22"/>
          <w:szCs w:val="22"/>
        </w:rPr>
      </w:pPr>
    </w:p>
    <w:p w:rsidR="00435068" w:rsidRDefault="00435068" w:rsidP="00150999">
      <w:pPr>
        <w:rPr>
          <w:sz w:val="22"/>
          <w:szCs w:val="22"/>
        </w:rPr>
      </w:pPr>
      <w:r>
        <w:rPr>
          <w:noProof/>
          <w:sz w:val="22"/>
          <w:szCs w:val="22"/>
        </w:rPr>
        <w:drawing>
          <wp:inline distT="0" distB="0" distL="0" distR="0" wp14:anchorId="03FD9DF3" wp14:editId="33A1361D">
            <wp:extent cx="6858000" cy="4394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BUG IBI.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39420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790C2E" w:rsidRDefault="00790C2E" w:rsidP="00977B74">
      <w:pPr>
        <w:jc w:val="center"/>
        <w:rPr>
          <w:sz w:val="22"/>
          <w:szCs w:val="22"/>
        </w:rPr>
        <w:sectPr w:rsidR="00790C2E" w:rsidSect="00790C2E">
          <w:type w:val="continuous"/>
          <w:pgSz w:w="12240" w:h="15840"/>
          <w:pgMar w:top="1440" w:right="720" w:bottom="1440" w:left="720" w:header="720" w:footer="720" w:gutter="0"/>
          <w:cols w:space="720"/>
          <w:docGrid w:linePitch="272"/>
        </w:sectPr>
      </w:pPr>
    </w:p>
    <w:p w:rsidR="00402C0B" w:rsidRDefault="00402C0B" w:rsidP="00402C0B">
      <w:pPr>
        <w:rPr>
          <w:sz w:val="22"/>
          <w:szCs w:val="22"/>
        </w:rPr>
      </w:pPr>
      <w:r>
        <w:rPr>
          <w:sz w:val="22"/>
          <w:szCs w:val="22"/>
          <w:u w:val="single"/>
        </w:rPr>
        <w:lastRenderedPageBreak/>
        <w:t>Water Chemistry</w:t>
      </w:r>
    </w:p>
    <w:p w:rsidR="00402C0B" w:rsidRDefault="00402C0B" w:rsidP="00402C0B">
      <w:pPr>
        <w:rPr>
          <w:sz w:val="22"/>
          <w:szCs w:val="22"/>
        </w:rPr>
      </w:pPr>
    </w:p>
    <w:p w:rsidR="00402C0B" w:rsidRDefault="00402C0B" w:rsidP="00402C0B">
      <w:pPr>
        <w:rPr>
          <w:sz w:val="22"/>
          <w:szCs w:val="22"/>
        </w:rPr>
      </w:pPr>
      <w:r>
        <w:rPr>
          <w:sz w:val="22"/>
          <w:szCs w:val="22"/>
        </w:rPr>
        <w:t xml:space="preserve">Water chemistry data for the </w:t>
      </w:r>
      <w:proofErr w:type="spellStart"/>
      <w:r>
        <w:rPr>
          <w:sz w:val="22"/>
          <w:szCs w:val="22"/>
        </w:rPr>
        <w:t>Nemadji</w:t>
      </w:r>
      <w:proofErr w:type="spellEnd"/>
      <w:r>
        <w:rPr>
          <w:sz w:val="22"/>
          <w:szCs w:val="22"/>
        </w:rPr>
        <w:t xml:space="preserve"> River and sampled tributaries is shown in table 4.  Sampling frequency and duration varied by site making comparisons between sites tentative.  No water samples were collected from the Black River.  </w:t>
      </w:r>
    </w:p>
    <w:p w:rsidR="00402C0B" w:rsidRDefault="00402C0B" w:rsidP="00402C0B">
      <w:pPr>
        <w:rPr>
          <w:sz w:val="22"/>
          <w:szCs w:val="22"/>
        </w:rPr>
      </w:pPr>
    </w:p>
    <w:p w:rsidR="00402C0B" w:rsidRDefault="00402C0B" w:rsidP="00402C0B">
      <w:pPr>
        <w:rPr>
          <w:sz w:val="22"/>
          <w:szCs w:val="22"/>
        </w:rPr>
      </w:pPr>
      <w:r>
        <w:rPr>
          <w:sz w:val="22"/>
          <w:szCs w:val="22"/>
        </w:rPr>
        <w:t xml:space="preserve">Only the two </w:t>
      </w:r>
      <w:proofErr w:type="spellStart"/>
      <w:r>
        <w:rPr>
          <w:sz w:val="22"/>
          <w:szCs w:val="22"/>
        </w:rPr>
        <w:t>Nemadji</w:t>
      </w:r>
      <w:proofErr w:type="spellEnd"/>
      <w:r>
        <w:rPr>
          <w:sz w:val="22"/>
          <w:szCs w:val="22"/>
        </w:rPr>
        <w:t xml:space="preserve"> River sites had more than one sample collected for nutrients.  Median concentrations of total phosphorus (TP) and total nitrogen (TN)(total </w:t>
      </w:r>
      <w:proofErr w:type="spellStart"/>
      <w:r>
        <w:rPr>
          <w:sz w:val="22"/>
          <w:szCs w:val="22"/>
        </w:rPr>
        <w:t>Kjeldahl</w:t>
      </w:r>
      <w:proofErr w:type="spellEnd"/>
      <w:r>
        <w:rPr>
          <w:sz w:val="22"/>
          <w:szCs w:val="22"/>
        </w:rPr>
        <w:t xml:space="preserve"> nitrogen plus nitrate and nitrite nitrogen) were</w:t>
      </w:r>
      <w:r w:rsidR="00C11820">
        <w:rPr>
          <w:sz w:val="22"/>
          <w:szCs w:val="22"/>
        </w:rPr>
        <w:t xml:space="preserve"> low to </w:t>
      </w:r>
      <w:r>
        <w:rPr>
          <w:sz w:val="22"/>
          <w:szCs w:val="22"/>
        </w:rPr>
        <w:t xml:space="preserve">moderate at these sites (table 4-2).  TP concentration medians ranged from 30 – 46 </w:t>
      </w:r>
      <w:proofErr w:type="spellStart"/>
      <w:r>
        <w:rPr>
          <w:sz w:val="22"/>
          <w:szCs w:val="22"/>
        </w:rPr>
        <w:t>ug</w:t>
      </w:r>
      <w:proofErr w:type="spellEnd"/>
      <w:r>
        <w:rPr>
          <w:sz w:val="22"/>
          <w:szCs w:val="22"/>
        </w:rPr>
        <w:t xml:space="preserve">/l.  The percent of total phosphorus present in the dissolved form was low, with a median concentration </w:t>
      </w:r>
      <w:proofErr w:type="gramStart"/>
      <w:r>
        <w:rPr>
          <w:sz w:val="22"/>
          <w:szCs w:val="22"/>
        </w:rPr>
        <w:t xml:space="preserve">of 3 </w:t>
      </w:r>
      <w:proofErr w:type="spellStart"/>
      <w:r>
        <w:rPr>
          <w:sz w:val="22"/>
          <w:szCs w:val="22"/>
        </w:rPr>
        <w:t>ug</w:t>
      </w:r>
      <w:proofErr w:type="spellEnd"/>
      <w:r>
        <w:rPr>
          <w:sz w:val="22"/>
          <w:szCs w:val="22"/>
        </w:rPr>
        <w:t>/l</w:t>
      </w:r>
      <w:proofErr w:type="gramEnd"/>
      <w:r>
        <w:rPr>
          <w:sz w:val="22"/>
          <w:szCs w:val="22"/>
        </w:rPr>
        <w:t xml:space="preserve">.  TN concentration medians ranged from 0.59 – 0.63 mg/l.  More than 92% of the total nitrogen was present in an organic form.  </w:t>
      </w:r>
    </w:p>
    <w:p w:rsidR="00402C0B" w:rsidRDefault="00402C0B" w:rsidP="00402C0B">
      <w:pPr>
        <w:rPr>
          <w:sz w:val="22"/>
          <w:szCs w:val="22"/>
        </w:rPr>
      </w:pPr>
    </w:p>
    <w:p w:rsidR="00402C0B" w:rsidRDefault="00402C0B" w:rsidP="00402C0B">
      <w:pPr>
        <w:rPr>
          <w:sz w:val="22"/>
          <w:szCs w:val="22"/>
        </w:rPr>
      </w:pPr>
      <w:r>
        <w:rPr>
          <w:sz w:val="22"/>
          <w:szCs w:val="22"/>
        </w:rPr>
        <w:t xml:space="preserve">The </w:t>
      </w:r>
      <w:proofErr w:type="spellStart"/>
      <w:r>
        <w:rPr>
          <w:sz w:val="22"/>
          <w:szCs w:val="22"/>
        </w:rPr>
        <w:t>Nemadji</w:t>
      </w:r>
      <w:proofErr w:type="spellEnd"/>
      <w:r>
        <w:rPr>
          <w:sz w:val="22"/>
          <w:szCs w:val="22"/>
        </w:rPr>
        <w:t xml:space="preserve"> River sites had low concentrations of ammonia and nitrate plus nitrite.  Ammonia concentration medians were less than 0.015 mg/l.  Nitrate plus nitrite concentration medians ranged from 0.029 – 0.038 mg/l.</w:t>
      </w:r>
    </w:p>
    <w:p w:rsidR="00402C0B" w:rsidRDefault="00402C0B" w:rsidP="00402C0B">
      <w:pPr>
        <w:rPr>
          <w:sz w:val="22"/>
          <w:szCs w:val="22"/>
        </w:rPr>
      </w:pPr>
    </w:p>
    <w:p w:rsidR="00402C0B" w:rsidRDefault="00402C0B" w:rsidP="00402C0B">
      <w:pPr>
        <w:rPr>
          <w:sz w:val="22"/>
          <w:szCs w:val="22"/>
        </w:rPr>
      </w:pPr>
      <w:r>
        <w:rPr>
          <w:sz w:val="22"/>
          <w:szCs w:val="22"/>
        </w:rPr>
        <w:t xml:space="preserve">All sites had fairly high total suspended solids (TSS) concentrations, fairly high turbidity, and fairly low transparency.  The three </w:t>
      </w:r>
      <w:proofErr w:type="spellStart"/>
      <w:r>
        <w:rPr>
          <w:sz w:val="22"/>
          <w:szCs w:val="22"/>
        </w:rPr>
        <w:t>Nemadji</w:t>
      </w:r>
      <w:proofErr w:type="spellEnd"/>
      <w:r>
        <w:rPr>
          <w:sz w:val="22"/>
          <w:szCs w:val="22"/>
        </w:rPr>
        <w:t xml:space="preserve"> River sites and the Clear Creek site had the lowest turbidity medians (19-35 </w:t>
      </w:r>
      <w:proofErr w:type="spellStart"/>
      <w:r>
        <w:rPr>
          <w:sz w:val="22"/>
          <w:szCs w:val="22"/>
        </w:rPr>
        <w:t>ntu</w:t>
      </w:r>
      <w:proofErr w:type="spellEnd"/>
      <w:r>
        <w:rPr>
          <w:sz w:val="22"/>
          <w:szCs w:val="22"/>
        </w:rPr>
        <w:t xml:space="preserve">), and the highest transparency medians (25-42 cm).  The Mud Creek site had the highest turbidity median (57 </w:t>
      </w:r>
      <w:proofErr w:type="spellStart"/>
      <w:r>
        <w:rPr>
          <w:sz w:val="22"/>
          <w:szCs w:val="22"/>
        </w:rPr>
        <w:t>ntu</w:t>
      </w:r>
      <w:proofErr w:type="spellEnd"/>
      <w:r>
        <w:rPr>
          <w:sz w:val="22"/>
          <w:szCs w:val="22"/>
        </w:rPr>
        <w:t xml:space="preserve">), and the lowest transparency median (17 cm).   </w:t>
      </w:r>
    </w:p>
    <w:p w:rsidR="00402C0B" w:rsidRDefault="00402C0B" w:rsidP="00402C0B">
      <w:pPr>
        <w:rPr>
          <w:sz w:val="22"/>
          <w:szCs w:val="22"/>
        </w:rPr>
      </w:pPr>
    </w:p>
    <w:p w:rsidR="00402C0B" w:rsidRDefault="00402C0B" w:rsidP="00402C0B">
      <w:pPr>
        <w:rPr>
          <w:sz w:val="22"/>
          <w:szCs w:val="22"/>
        </w:rPr>
      </w:pPr>
      <w:r>
        <w:rPr>
          <w:sz w:val="22"/>
          <w:szCs w:val="22"/>
        </w:rPr>
        <w:t xml:space="preserve">Daytime dissolved oxygen (D.O.) concentrations were generally good.  Only two concentrations were less than 5 mg/l.  The </w:t>
      </w:r>
      <w:proofErr w:type="spellStart"/>
      <w:r>
        <w:rPr>
          <w:sz w:val="22"/>
          <w:szCs w:val="22"/>
        </w:rPr>
        <w:t>Nemadji</w:t>
      </w:r>
      <w:proofErr w:type="spellEnd"/>
      <w:r>
        <w:rPr>
          <w:sz w:val="22"/>
          <w:szCs w:val="22"/>
        </w:rPr>
        <w:t xml:space="preserve"> River at CTH C had a D.O. concentration of 4.5 mg/l on one date.  Crawford Creek at Hammond Avenue had a D.O. concentration of 2.4 mg/l on one date. </w:t>
      </w:r>
    </w:p>
    <w:p w:rsidR="00402C0B" w:rsidRDefault="00402C0B" w:rsidP="00402C0B">
      <w:pPr>
        <w:rPr>
          <w:sz w:val="22"/>
          <w:szCs w:val="22"/>
        </w:rPr>
      </w:pPr>
    </w:p>
    <w:p w:rsidR="00402C0B" w:rsidRDefault="00402C0B" w:rsidP="00402C0B">
      <w:pPr>
        <w:rPr>
          <w:sz w:val="22"/>
          <w:szCs w:val="22"/>
        </w:rPr>
      </w:pPr>
      <w:r>
        <w:rPr>
          <w:sz w:val="22"/>
          <w:szCs w:val="22"/>
        </w:rPr>
        <w:t xml:space="preserve">Median conductivities ranged from 195 – 520 </w:t>
      </w:r>
      <w:proofErr w:type="spellStart"/>
      <w:r>
        <w:rPr>
          <w:sz w:val="22"/>
          <w:szCs w:val="22"/>
        </w:rPr>
        <w:t>umhos</w:t>
      </w:r>
      <w:proofErr w:type="spellEnd"/>
      <w:r>
        <w:rPr>
          <w:sz w:val="22"/>
          <w:szCs w:val="22"/>
        </w:rPr>
        <w:t xml:space="preserve">/cm.  Conductivity was highest in Clear Creek </w:t>
      </w:r>
      <w:proofErr w:type="gramStart"/>
      <w:r>
        <w:rPr>
          <w:sz w:val="22"/>
          <w:szCs w:val="22"/>
        </w:rPr>
        <w:t xml:space="preserve">(median 520 </w:t>
      </w:r>
      <w:proofErr w:type="spellStart"/>
      <w:r>
        <w:rPr>
          <w:sz w:val="22"/>
          <w:szCs w:val="22"/>
        </w:rPr>
        <w:t>umhos</w:t>
      </w:r>
      <w:proofErr w:type="spellEnd"/>
      <w:r>
        <w:rPr>
          <w:sz w:val="22"/>
          <w:szCs w:val="22"/>
        </w:rPr>
        <w:t>/cm)</w:t>
      </w:r>
      <w:proofErr w:type="gramEnd"/>
      <w:r>
        <w:rPr>
          <w:sz w:val="22"/>
          <w:szCs w:val="22"/>
        </w:rPr>
        <w:t xml:space="preserve">, probably as a result of more groundwater discharge to this stream.   </w:t>
      </w:r>
      <w:proofErr w:type="gramStart"/>
      <w:r>
        <w:rPr>
          <w:sz w:val="22"/>
          <w:szCs w:val="22"/>
        </w:rPr>
        <w:t>pH</w:t>
      </w:r>
      <w:proofErr w:type="gramEnd"/>
      <w:r>
        <w:rPr>
          <w:sz w:val="22"/>
          <w:szCs w:val="22"/>
        </w:rPr>
        <w:t xml:space="preserve"> median values ranged from 7.5 to 8.0</w:t>
      </w:r>
    </w:p>
    <w:p w:rsidR="00402C0B" w:rsidRDefault="00402C0B" w:rsidP="00402C0B">
      <w:pPr>
        <w:rPr>
          <w:sz w:val="22"/>
          <w:szCs w:val="22"/>
        </w:rPr>
      </w:pPr>
    </w:p>
    <w:p w:rsidR="00402C0B" w:rsidRDefault="00402C0B">
      <w:pPr>
        <w:rPr>
          <w:sz w:val="22"/>
          <w:szCs w:val="22"/>
        </w:rPr>
      </w:pPr>
    </w:p>
    <w:p w:rsidR="00402C0B" w:rsidRDefault="00402C0B" w:rsidP="00977B74">
      <w:pPr>
        <w:jc w:val="center"/>
        <w:rPr>
          <w:sz w:val="22"/>
          <w:szCs w:val="22"/>
        </w:rPr>
        <w:sectPr w:rsidR="00402C0B" w:rsidSect="00790C2E">
          <w:pgSz w:w="12240" w:h="15840"/>
          <w:pgMar w:top="1440" w:right="1800" w:bottom="1440" w:left="1800" w:header="720" w:footer="720" w:gutter="0"/>
          <w:cols w:space="720"/>
          <w:docGrid w:linePitch="272"/>
        </w:sect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17792D17" wp14:editId="1EC39084">
            <wp:extent cx="6858000" cy="5402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540258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4F8BE487" wp14:editId="44CB014F">
            <wp:extent cx="6858000" cy="1805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2.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1805305"/>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3AFE0D9D" wp14:editId="3F5D18AD">
            <wp:extent cx="6858000" cy="5689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3.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568960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71887A1D" wp14:editId="1BC19F80">
            <wp:extent cx="6858000" cy="5868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4.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586867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6E10B9CE" wp14:editId="12B4F88B">
            <wp:extent cx="6858000" cy="6256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5.JPG"/>
                    <pic:cNvPicPr/>
                  </pic:nvPicPr>
                  <pic:blipFill>
                    <a:blip r:embed="rId24">
                      <a:extLst>
                        <a:ext uri="{28A0092B-C50C-407E-A947-70E740481C1C}">
                          <a14:useLocalDpi xmlns:a14="http://schemas.microsoft.com/office/drawing/2010/main" val="0"/>
                        </a:ext>
                      </a:extLst>
                    </a:blip>
                    <a:stretch>
                      <a:fillRect/>
                    </a:stretch>
                  </pic:blipFill>
                  <pic:spPr>
                    <a:xfrm>
                      <a:off x="0" y="0"/>
                      <a:ext cx="6858000" cy="625602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43AFA4C4" wp14:editId="4450DCDA">
            <wp:extent cx="6858000" cy="26771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6.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267716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r>
        <w:rPr>
          <w:noProof/>
          <w:sz w:val="22"/>
          <w:szCs w:val="22"/>
        </w:rPr>
        <w:drawing>
          <wp:inline distT="0" distB="0" distL="0" distR="0" wp14:anchorId="6D357561" wp14:editId="36E4F071">
            <wp:extent cx="6858000" cy="3994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7.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3994150"/>
                    </a:xfrm>
                    <a:prstGeom prst="rect">
                      <a:avLst/>
                    </a:prstGeom>
                  </pic:spPr>
                </pic:pic>
              </a:graphicData>
            </a:graphic>
          </wp:inline>
        </w:drawing>
      </w: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435068" w:rsidRDefault="00435068" w:rsidP="00977B74">
      <w:pPr>
        <w:jc w:val="center"/>
        <w:rPr>
          <w:sz w:val="22"/>
          <w:szCs w:val="22"/>
        </w:rPr>
      </w:pPr>
    </w:p>
    <w:p w:rsidR="00A04EDB" w:rsidRDefault="00A04EDB" w:rsidP="00977B74">
      <w:pPr>
        <w:jc w:val="center"/>
        <w:rPr>
          <w:sz w:val="22"/>
          <w:szCs w:val="22"/>
        </w:rPr>
      </w:pPr>
    </w:p>
    <w:p w:rsidR="00A04EDB" w:rsidRDefault="00A04EDB" w:rsidP="00977B74">
      <w:pPr>
        <w:jc w:val="center"/>
        <w:rPr>
          <w:sz w:val="22"/>
          <w:szCs w:val="22"/>
        </w:rPr>
      </w:pPr>
      <w:r>
        <w:rPr>
          <w:noProof/>
          <w:sz w:val="22"/>
          <w:szCs w:val="22"/>
        </w:rPr>
        <w:drawing>
          <wp:inline distT="0" distB="0" distL="0" distR="0" wp14:anchorId="07E8EF9A" wp14:editId="0E3CA48A">
            <wp:extent cx="6858000" cy="3437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WQ MEDIANS.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3437890"/>
                    </a:xfrm>
                    <a:prstGeom prst="rect">
                      <a:avLst/>
                    </a:prstGeom>
                  </pic:spPr>
                </pic:pic>
              </a:graphicData>
            </a:graphic>
          </wp:inline>
        </w:drawing>
      </w:r>
    </w:p>
    <w:p w:rsidR="00790C2E" w:rsidRDefault="00A04EDB">
      <w:pPr>
        <w:rPr>
          <w:sz w:val="22"/>
          <w:szCs w:val="22"/>
        </w:rPr>
        <w:sectPr w:rsidR="00790C2E" w:rsidSect="00977B74">
          <w:pgSz w:w="12240" w:h="15840"/>
          <w:pgMar w:top="1440" w:right="720" w:bottom="1440" w:left="720" w:header="720" w:footer="720" w:gutter="0"/>
          <w:cols w:space="720"/>
        </w:sectPr>
      </w:pPr>
      <w:r>
        <w:rPr>
          <w:sz w:val="22"/>
          <w:szCs w:val="22"/>
        </w:rPr>
        <w:br w:type="page"/>
      </w:r>
    </w:p>
    <w:p w:rsidR="00790C2E" w:rsidRDefault="00790C2E" w:rsidP="00790C2E">
      <w:pPr>
        <w:rPr>
          <w:sz w:val="22"/>
          <w:szCs w:val="22"/>
        </w:rPr>
      </w:pPr>
      <w:r>
        <w:rPr>
          <w:b/>
          <w:sz w:val="22"/>
          <w:szCs w:val="22"/>
          <w:u w:val="single"/>
        </w:rPr>
        <w:lastRenderedPageBreak/>
        <w:t>Conclusions</w:t>
      </w:r>
    </w:p>
    <w:p w:rsidR="00790C2E" w:rsidRDefault="00790C2E" w:rsidP="00790C2E">
      <w:pPr>
        <w:rPr>
          <w:sz w:val="22"/>
          <w:szCs w:val="22"/>
        </w:rPr>
      </w:pPr>
    </w:p>
    <w:p w:rsidR="00790C2E" w:rsidRDefault="00790C2E" w:rsidP="00790C2E">
      <w:pPr>
        <w:rPr>
          <w:sz w:val="22"/>
          <w:szCs w:val="22"/>
        </w:rPr>
      </w:pPr>
      <w:r>
        <w:rPr>
          <w:sz w:val="22"/>
          <w:szCs w:val="22"/>
        </w:rPr>
        <w:t xml:space="preserve">The sites monitored in Wisconsin’s portion of the </w:t>
      </w:r>
      <w:proofErr w:type="spellStart"/>
      <w:r>
        <w:rPr>
          <w:sz w:val="22"/>
          <w:szCs w:val="22"/>
        </w:rPr>
        <w:t>Nemadji</w:t>
      </w:r>
      <w:proofErr w:type="spellEnd"/>
      <w:r>
        <w:rPr>
          <w:sz w:val="22"/>
          <w:szCs w:val="22"/>
        </w:rPr>
        <w:t xml:space="preserve"> River watershed are diverse, with natural stream communities ranging from Cool-Cold headwaters to Warm </w:t>
      </w:r>
      <w:proofErr w:type="spellStart"/>
      <w:r>
        <w:rPr>
          <w:sz w:val="22"/>
          <w:szCs w:val="22"/>
        </w:rPr>
        <w:t>mainstems</w:t>
      </w:r>
      <w:proofErr w:type="spellEnd"/>
      <w:r>
        <w:rPr>
          <w:sz w:val="22"/>
          <w:szCs w:val="22"/>
        </w:rPr>
        <w:t xml:space="preserve">.  Erodible clay soils </w:t>
      </w:r>
      <w:r w:rsidR="00DD028F">
        <w:rPr>
          <w:sz w:val="22"/>
          <w:szCs w:val="22"/>
        </w:rPr>
        <w:t xml:space="preserve">interspersed with sands and silts </w:t>
      </w:r>
      <w:r>
        <w:rPr>
          <w:sz w:val="22"/>
          <w:szCs w:val="22"/>
        </w:rPr>
        <w:t xml:space="preserve">dominate the drainage areas for most sites.  Erosion of stream banks and </w:t>
      </w:r>
      <w:proofErr w:type="spellStart"/>
      <w:r>
        <w:rPr>
          <w:sz w:val="22"/>
          <w:szCs w:val="22"/>
        </w:rPr>
        <w:t>drainageways</w:t>
      </w:r>
      <w:proofErr w:type="spellEnd"/>
      <w:r>
        <w:rPr>
          <w:sz w:val="22"/>
          <w:szCs w:val="22"/>
        </w:rPr>
        <w:t xml:space="preserve"> are the dominant source of sediment loads.   Common stream concerns in this area include:  </w:t>
      </w:r>
    </w:p>
    <w:p w:rsidR="00790C2E" w:rsidRDefault="00790C2E" w:rsidP="00790C2E">
      <w:pPr>
        <w:rPr>
          <w:sz w:val="22"/>
          <w:szCs w:val="22"/>
        </w:rPr>
      </w:pPr>
      <w:r>
        <w:rPr>
          <w:sz w:val="22"/>
          <w:szCs w:val="22"/>
        </w:rPr>
        <w:t xml:space="preserve"> </w:t>
      </w:r>
    </w:p>
    <w:p w:rsidR="00790C2E" w:rsidRDefault="00790C2E" w:rsidP="00790C2E">
      <w:pPr>
        <w:pStyle w:val="ListParagraph"/>
        <w:numPr>
          <w:ilvl w:val="0"/>
          <w:numId w:val="2"/>
        </w:numPr>
        <w:rPr>
          <w:sz w:val="22"/>
          <w:szCs w:val="22"/>
        </w:rPr>
      </w:pPr>
      <w:r>
        <w:rPr>
          <w:sz w:val="22"/>
          <w:szCs w:val="22"/>
        </w:rPr>
        <w:t>High peak flows resulting from rapid runoff from clay soils.</w:t>
      </w:r>
    </w:p>
    <w:p w:rsidR="00790C2E" w:rsidRDefault="00790C2E" w:rsidP="00790C2E">
      <w:pPr>
        <w:pStyle w:val="ListParagraph"/>
        <w:numPr>
          <w:ilvl w:val="0"/>
          <w:numId w:val="2"/>
        </w:numPr>
        <w:rPr>
          <w:sz w:val="22"/>
          <w:szCs w:val="22"/>
        </w:rPr>
      </w:pPr>
      <w:r>
        <w:rPr>
          <w:sz w:val="22"/>
          <w:szCs w:val="22"/>
        </w:rPr>
        <w:t>Low base flows resulting from limited groundwater discharge.</w:t>
      </w:r>
    </w:p>
    <w:p w:rsidR="00790C2E" w:rsidRDefault="00790C2E" w:rsidP="00790C2E">
      <w:pPr>
        <w:pStyle w:val="ListParagraph"/>
        <w:numPr>
          <w:ilvl w:val="0"/>
          <w:numId w:val="3"/>
        </w:numPr>
        <w:rPr>
          <w:sz w:val="22"/>
          <w:szCs w:val="22"/>
        </w:rPr>
      </w:pPr>
      <w:r w:rsidRPr="001648F8">
        <w:rPr>
          <w:sz w:val="22"/>
          <w:szCs w:val="22"/>
        </w:rPr>
        <w:t xml:space="preserve">Scouring of stream bed, and bank erosion resulting from high peak flows.  </w:t>
      </w:r>
    </w:p>
    <w:p w:rsidR="00790C2E" w:rsidRPr="001648F8" w:rsidRDefault="00790C2E" w:rsidP="00790C2E">
      <w:pPr>
        <w:pStyle w:val="ListParagraph"/>
        <w:numPr>
          <w:ilvl w:val="0"/>
          <w:numId w:val="3"/>
        </w:numPr>
        <w:rPr>
          <w:sz w:val="22"/>
          <w:szCs w:val="22"/>
        </w:rPr>
      </w:pPr>
      <w:r w:rsidRPr="001648F8">
        <w:rPr>
          <w:sz w:val="22"/>
          <w:szCs w:val="22"/>
        </w:rPr>
        <w:t>High bed load</w:t>
      </w:r>
      <w:r>
        <w:rPr>
          <w:sz w:val="22"/>
          <w:szCs w:val="22"/>
        </w:rPr>
        <w:t>s</w:t>
      </w:r>
      <w:r w:rsidRPr="001648F8">
        <w:rPr>
          <w:sz w:val="22"/>
          <w:szCs w:val="22"/>
        </w:rPr>
        <w:t xml:space="preserve"> of sand and silt, reducing the substrate quality for fish and </w:t>
      </w:r>
      <w:proofErr w:type="spellStart"/>
      <w:r w:rsidRPr="001648F8">
        <w:rPr>
          <w:sz w:val="22"/>
          <w:szCs w:val="22"/>
        </w:rPr>
        <w:t>macroinvertebrates</w:t>
      </w:r>
      <w:proofErr w:type="spellEnd"/>
      <w:r w:rsidRPr="001648F8">
        <w:rPr>
          <w:sz w:val="22"/>
          <w:szCs w:val="22"/>
        </w:rPr>
        <w:t>.  .</w:t>
      </w:r>
    </w:p>
    <w:p w:rsidR="00790C2E" w:rsidRDefault="00790C2E" w:rsidP="00790C2E">
      <w:pPr>
        <w:pStyle w:val="ListParagraph"/>
        <w:numPr>
          <w:ilvl w:val="0"/>
          <w:numId w:val="3"/>
        </w:numPr>
        <w:rPr>
          <w:sz w:val="22"/>
          <w:szCs w:val="22"/>
        </w:rPr>
      </w:pPr>
      <w:r>
        <w:rPr>
          <w:sz w:val="22"/>
          <w:szCs w:val="22"/>
        </w:rPr>
        <w:t>High TSS and turbidity, and low transparency resulting from erosion of clay soils.</w:t>
      </w:r>
    </w:p>
    <w:p w:rsidR="00790C2E" w:rsidRDefault="00790C2E" w:rsidP="00790C2E">
      <w:pPr>
        <w:rPr>
          <w:sz w:val="22"/>
          <w:szCs w:val="22"/>
        </w:rPr>
      </w:pPr>
    </w:p>
    <w:p w:rsidR="00790C2E" w:rsidRDefault="00790C2E" w:rsidP="00790C2E">
      <w:pPr>
        <w:rPr>
          <w:sz w:val="22"/>
          <w:szCs w:val="22"/>
        </w:rPr>
      </w:pPr>
      <w:r>
        <w:rPr>
          <w:sz w:val="22"/>
          <w:szCs w:val="22"/>
        </w:rPr>
        <w:t xml:space="preserve">Most of the Black River watershed extends south of the red clay plain area and has soils dominated by stony and sandy loams, and organic wetland soils.  Water quality is likely to be better in that stream, but water sampling was not done at the Black River monitoring site.  Both the fish IBI and the </w:t>
      </w:r>
      <w:proofErr w:type="spellStart"/>
      <w:r>
        <w:rPr>
          <w:sz w:val="22"/>
          <w:szCs w:val="22"/>
        </w:rPr>
        <w:t>macroinvertebrate</w:t>
      </w:r>
      <w:proofErr w:type="spellEnd"/>
      <w:r>
        <w:rPr>
          <w:sz w:val="22"/>
          <w:szCs w:val="22"/>
        </w:rPr>
        <w:t xml:space="preserve"> IBI for this site were excellent.  </w:t>
      </w:r>
    </w:p>
    <w:p w:rsidR="00790C2E" w:rsidRDefault="00790C2E" w:rsidP="00790C2E">
      <w:pPr>
        <w:rPr>
          <w:sz w:val="22"/>
          <w:szCs w:val="22"/>
        </w:rPr>
      </w:pPr>
    </w:p>
    <w:p w:rsidR="00790C2E" w:rsidRDefault="00790C2E" w:rsidP="00790C2E">
      <w:pPr>
        <w:rPr>
          <w:sz w:val="22"/>
          <w:szCs w:val="22"/>
        </w:rPr>
      </w:pPr>
      <w:r>
        <w:rPr>
          <w:sz w:val="22"/>
          <w:szCs w:val="22"/>
        </w:rPr>
        <w:t xml:space="preserve">The </w:t>
      </w:r>
      <w:proofErr w:type="spellStart"/>
      <w:r>
        <w:rPr>
          <w:sz w:val="22"/>
          <w:szCs w:val="22"/>
        </w:rPr>
        <w:t>Nemadji</w:t>
      </w:r>
      <w:proofErr w:type="spellEnd"/>
      <w:r>
        <w:rPr>
          <w:sz w:val="22"/>
          <w:szCs w:val="22"/>
        </w:rPr>
        <w:t xml:space="preserve"> River and Crawford Creek have already been placed on Wisconsin’s 303d list of impaired waters, as discussed in the introduction section.  The data collected during this project does not provide any further </w:t>
      </w:r>
      <w:r w:rsidR="00F92F40">
        <w:rPr>
          <w:sz w:val="22"/>
          <w:szCs w:val="22"/>
        </w:rPr>
        <w:t>supporting information</w:t>
      </w:r>
      <w:r>
        <w:rPr>
          <w:sz w:val="22"/>
          <w:szCs w:val="22"/>
        </w:rPr>
        <w:t xml:space="preserve"> for having these streams on the list.  </w:t>
      </w:r>
    </w:p>
    <w:p w:rsidR="00790C2E" w:rsidRDefault="00790C2E" w:rsidP="00790C2E">
      <w:pPr>
        <w:rPr>
          <w:sz w:val="22"/>
          <w:szCs w:val="22"/>
        </w:rPr>
      </w:pPr>
    </w:p>
    <w:p w:rsidR="00790C2E" w:rsidRDefault="00790C2E" w:rsidP="00790C2E">
      <w:pPr>
        <w:rPr>
          <w:sz w:val="22"/>
          <w:szCs w:val="22"/>
        </w:rPr>
      </w:pPr>
      <w:r>
        <w:rPr>
          <w:sz w:val="22"/>
          <w:szCs w:val="22"/>
        </w:rPr>
        <w:t xml:space="preserve">WISCALM guidance (2014) indicates at least two samples of one biological assemblage (fish or </w:t>
      </w:r>
      <w:proofErr w:type="spellStart"/>
      <w:r>
        <w:rPr>
          <w:sz w:val="22"/>
          <w:szCs w:val="22"/>
        </w:rPr>
        <w:t>macroinvertebrates</w:t>
      </w:r>
      <w:proofErr w:type="spellEnd"/>
      <w:r>
        <w:rPr>
          <w:sz w:val="22"/>
          <w:szCs w:val="22"/>
        </w:rPr>
        <w:t xml:space="preserve">) collected in different calendar years and having “poor” ratings are required to list a stream as impaired.  Neither the </w:t>
      </w:r>
      <w:proofErr w:type="spellStart"/>
      <w:r>
        <w:rPr>
          <w:sz w:val="22"/>
          <w:szCs w:val="22"/>
        </w:rPr>
        <w:t>Nemadji</w:t>
      </w:r>
      <w:proofErr w:type="spellEnd"/>
      <w:r>
        <w:rPr>
          <w:sz w:val="22"/>
          <w:szCs w:val="22"/>
        </w:rPr>
        <w:t xml:space="preserve"> River nor Crawford Creek had any poor ratings for fish IBI’s or </w:t>
      </w:r>
      <w:proofErr w:type="spellStart"/>
      <w:r>
        <w:rPr>
          <w:sz w:val="22"/>
          <w:szCs w:val="22"/>
        </w:rPr>
        <w:t>macroinvertebrate</w:t>
      </w:r>
      <w:proofErr w:type="spellEnd"/>
      <w:r>
        <w:rPr>
          <w:sz w:val="22"/>
          <w:szCs w:val="22"/>
        </w:rPr>
        <w:t xml:space="preserve"> IBI’s (table 5).  </w:t>
      </w:r>
    </w:p>
    <w:p w:rsidR="00790C2E" w:rsidRDefault="00790C2E" w:rsidP="00790C2E">
      <w:pPr>
        <w:rPr>
          <w:sz w:val="22"/>
          <w:szCs w:val="22"/>
        </w:rPr>
      </w:pPr>
    </w:p>
    <w:p w:rsidR="00790C2E" w:rsidRDefault="00790C2E" w:rsidP="00790C2E">
      <w:pPr>
        <w:rPr>
          <w:sz w:val="22"/>
          <w:szCs w:val="22"/>
        </w:rPr>
      </w:pPr>
      <w:r>
        <w:rPr>
          <w:sz w:val="22"/>
          <w:szCs w:val="22"/>
        </w:rPr>
        <w:t xml:space="preserve">Total phosphorus (TP) concentrations can also be used toward listing a stream as impaired.  Six monthly samples collected from May to October are needed for this assessment.  The lower bound of the 90% confidence interval of the mean must exceed </w:t>
      </w:r>
      <w:proofErr w:type="gramStart"/>
      <w:r>
        <w:rPr>
          <w:sz w:val="22"/>
          <w:szCs w:val="22"/>
        </w:rPr>
        <w:t xml:space="preserve">75 </w:t>
      </w:r>
      <w:proofErr w:type="spellStart"/>
      <w:r>
        <w:rPr>
          <w:sz w:val="22"/>
          <w:szCs w:val="22"/>
        </w:rPr>
        <w:t>ug</w:t>
      </w:r>
      <w:proofErr w:type="spellEnd"/>
      <w:r>
        <w:rPr>
          <w:sz w:val="22"/>
          <w:szCs w:val="22"/>
        </w:rPr>
        <w:t>/l to list a stream as impaired</w:t>
      </w:r>
      <w:proofErr w:type="gramEnd"/>
      <w:r>
        <w:rPr>
          <w:sz w:val="22"/>
          <w:szCs w:val="22"/>
        </w:rPr>
        <w:t xml:space="preserve">.  Only two sites on the </w:t>
      </w:r>
      <w:proofErr w:type="spellStart"/>
      <w:r>
        <w:rPr>
          <w:sz w:val="22"/>
          <w:szCs w:val="22"/>
        </w:rPr>
        <w:t>Nemadji</w:t>
      </w:r>
      <w:proofErr w:type="spellEnd"/>
      <w:r>
        <w:rPr>
          <w:sz w:val="22"/>
          <w:szCs w:val="22"/>
        </w:rPr>
        <w:t xml:space="preserve"> River (CTH C and Finn Road) had the needed samples collected (table 5).  At both sites the 75 </w:t>
      </w:r>
      <w:proofErr w:type="spellStart"/>
      <w:r>
        <w:rPr>
          <w:sz w:val="22"/>
          <w:szCs w:val="22"/>
        </w:rPr>
        <w:t>ug</w:t>
      </w:r>
      <w:proofErr w:type="spellEnd"/>
      <w:r>
        <w:rPr>
          <w:sz w:val="22"/>
          <w:szCs w:val="22"/>
        </w:rPr>
        <w:t xml:space="preserve">/l TP threshold is not exceeded. </w:t>
      </w:r>
    </w:p>
    <w:p w:rsidR="00790C2E" w:rsidRDefault="00790C2E" w:rsidP="00790C2E">
      <w:pPr>
        <w:rPr>
          <w:sz w:val="22"/>
          <w:szCs w:val="22"/>
        </w:rPr>
      </w:pPr>
    </w:p>
    <w:p w:rsidR="00790C2E" w:rsidRDefault="00790C2E" w:rsidP="00790C2E">
      <w:pPr>
        <w:rPr>
          <w:sz w:val="22"/>
          <w:szCs w:val="22"/>
        </w:rPr>
      </w:pPr>
      <w:r>
        <w:rPr>
          <w:sz w:val="22"/>
          <w:szCs w:val="22"/>
        </w:rPr>
        <w:t xml:space="preserve"> The data collected during this project for the other streams does not support 303d listing.  No poor ratings for fish IBI’s or </w:t>
      </w:r>
      <w:proofErr w:type="spellStart"/>
      <w:r>
        <w:rPr>
          <w:sz w:val="22"/>
          <w:szCs w:val="22"/>
        </w:rPr>
        <w:t>macroinvertebrate</w:t>
      </w:r>
      <w:proofErr w:type="spellEnd"/>
      <w:r>
        <w:rPr>
          <w:sz w:val="22"/>
          <w:szCs w:val="22"/>
        </w:rPr>
        <w:t xml:space="preserve"> IBI’s were found.  Sampling for TP concentrations was inadequate to determine if the 75 </w:t>
      </w:r>
      <w:proofErr w:type="spellStart"/>
      <w:r>
        <w:rPr>
          <w:sz w:val="22"/>
          <w:szCs w:val="22"/>
        </w:rPr>
        <w:t>ug</w:t>
      </w:r>
      <w:proofErr w:type="spellEnd"/>
      <w:r>
        <w:rPr>
          <w:sz w:val="22"/>
          <w:szCs w:val="22"/>
        </w:rPr>
        <w:t xml:space="preserve">/l threshold is exceeded (table 5).  </w:t>
      </w:r>
    </w:p>
    <w:p w:rsidR="00790C2E" w:rsidRDefault="00790C2E">
      <w:pPr>
        <w:rPr>
          <w:sz w:val="22"/>
          <w:szCs w:val="22"/>
        </w:rPr>
        <w:sectPr w:rsidR="00790C2E" w:rsidSect="00790C2E">
          <w:pgSz w:w="12240" w:h="15840"/>
          <w:pgMar w:top="1440" w:right="1800" w:bottom="1440" w:left="1800" w:header="720" w:footer="720" w:gutter="0"/>
          <w:cols w:space="720"/>
          <w:docGrid w:linePitch="272"/>
        </w:sectPr>
      </w:pPr>
    </w:p>
    <w:p w:rsidR="00A04EDB" w:rsidRDefault="00A04EDB">
      <w:pPr>
        <w:rPr>
          <w:sz w:val="22"/>
          <w:szCs w:val="22"/>
        </w:rPr>
      </w:pPr>
    </w:p>
    <w:p w:rsidR="00790C2E" w:rsidRDefault="00790C2E" w:rsidP="00977B74">
      <w:pPr>
        <w:jc w:val="center"/>
        <w:rPr>
          <w:sz w:val="22"/>
          <w:szCs w:val="22"/>
        </w:rPr>
        <w:sectPr w:rsidR="00790C2E" w:rsidSect="00790C2E">
          <w:type w:val="continuous"/>
          <w:pgSz w:w="12240" w:h="15840"/>
          <w:pgMar w:top="1440" w:right="720" w:bottom="1440" w:left="720" w:header="720" w:footer="720" w:gutter="0"/>
          <w:cols w:space="720"/>
        </w:sectPr>
      </w:pPr>
    </w:p>
    <w:p w:rsidR="00435068" w:rsidRDefault="00435068" w:rsidP="00977B74">
      <w:pPr>
        <w:jc w:val="center"/>
        <w:rPr>
          <w:sz w:val="22"/>
          <w:szCs w:val="22"/>
        </w:rPr>
      </w:pPr>
      <w:bookmarkStart w:id="0" w:name="_GoBack"/>
      <w:bookmarkEnd w:id="0"/>
    </w:p>
    <w:p w:rsidR="00435068" w:rsidRDefault="003A23A5" w:rsidP="00977B74">
      <w:pPr>
        <w:jc w:val="center"/>
        <w:rPr>
          <w:sz w:val="22"/>
          <w:szCs w:val="22"/>
        </w:rPr>
      </w:pPr>
      <w:r>
        <w:rPr>
          <w:noProof/>
          <w:sz w:val="22"/>
          <w:szCs w:val="22"/>
        </w:rPr>
        <w:lastRenderedPageBreak/>
        <w:drawing>
          <wp:inline distT="0" distB="0" distL="0" distR="0" wp14:anchorId="405AEE98" wp14:editId="7B801B40">
            <wp:extent cx="6858000" cy="5814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ADJI TP AND IBI SUMM.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581469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7CA264E0" wp14:editId="7D04E4AD">
            <wp:extent cx="5743575" cy="6562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1.JPG"/>
                    <pic:cNvPicPr/>
                  </pic:nvPicPr>
                  <pic:blipFill>
                    <a:blip r:embed="rId29">
                      <a:extLst>
                        <a:ext uri="{28A0092B-C50C-407E-A947-70E740481C1C}">
                          <a14:useLocalDpi xmlns:a14="http://schemas.microsoft.com/office/drawing/2010/main" val="0"/>
                        </a:ext>
                      </a:extLst>
                    </a:blip>
                    <a:stretch>
                      <a:fillRect/>
                    </a:stretch>
                  </pic:blipFill>
                  <pic:spPr>
                    <a:xfrm>
                      <a:off x="0" y="0"/>
                      <a:ext cx="5743575" cy="656272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3FC5B211" wp14:editId="1E4CFB56">
            <wp:extent cx="6353175" cy="6743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2.JPG"/>
                    <pic:cNvPicPr/>
                  </pic:nvPicPr>
                  <pic:blipFill>
                    <a:blip r:embed="rId30">
                      <a:extLst>
                        <a:ext uri="{28A0092B-C50C-407E-A947-70E740481C1C}">
                          <a14:useLocalDpi xmlns:a14="http://schemas.microsoft.com/office/drawing/2010/main" val="0"/>
                        </a:ext>
                      </a:extLst>
                    </a:blip>
                    <a:stretch>
                      <a:fillRect/>
                    </a:stretch>
                  </pic:blipFill>
                  <pic:spPr>
                    <a:xfrm>
                      <a:off x="0" y="0"/>
                      <a:ext cx="6353175" cy="6743700"/>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0A52DED3" wp14:editId="283AEA31">
            <wp:extent cx="6353175" cy="503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3.JPG"/>
                    <pic:cNvPicPr/>
                  </pic:nvPicPr>
                  <pic:blipFill>
                    <a:blip r:embed="rId31">
                      <a:extLst>
                        <a:ext uri="{28A0092B-C50C-407E-A947-70E740481C1C}">
                          <a14:useLocalDpi xmlns:a14="http://schemas.microsoft.com/office/drawing/2010/main" val="0"/>
                        </a:ext>
                      </a:extLst>
                    </a:blip>
                    <a:stretch>
                      <a:fillRect/>
                    </a:stretch>
                  </pic:blipFill>
                  <pic:spPr>
                    <a:xfrm>
                      <a:off x="0" y="0"/>
                      <a:ext cx="6353175" cy="503872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773733B6" wp14:editId="1BC7CC20">
            <wp:extent cx="6362700" cy="4657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4.JPG"/>
                    <pic:cNvPicPr/>
                  </pic:nvPicPr>
                  <pic:blipFill>
                    <a:blip r:embed="rId32">
                      <a:extLst>
                        <a:ext uri="{28A0092B-C50C-407E-A947-70E740481C1C}">
                          <a14:useLocalDpi xmlns:a14="http://schemas.microsoft.com/office/drawing/2010/main" val="0"/>
                        </a:ext>
                      </a:extLst>
                    </a:blip>
                    <a:stretch>
                      <a:fillRect/>
                    </a:stretch>
                  </pic:blipFill>
                  <pic:spPr>
                    <a:xfrm>
                      <a:off x="0" y="0"/>
                      <a:ext cx="6362700" cy="465772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5AEE969B" wp14:editId="0E148DE1">
            <wp:extent cx="6372225" cy="6181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5.JPG"/>
                    <pic:cNvPicPr/>
                  </pic:nvPicPr>
                  <pic:blipFill>
                    <a:blip r:embed="rId33">
                      <a:extLst>
                        <a:ext uri="{28A0092B-C50C-407E-A947-70E740481C1C}">
                          <a14:useLocalDpi xmlns:a14="http://schemas.microsoft.com/office/drawing/2010/main" val="0"/>
                        </a:ext>
                      </a:extLst>
                    </a:blip>
                    <a:stretch>
                      <a:fillRect/>
                    </a:stretch>
                  </pic:blipFill>
                  <pic:spPr>
                    <a:xfrm>
                      <a:off x="0" y="0"/>
                      <a:ext cx="6372225" cy="618172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4593B4D9" wp14:editId="4E8DC6F1">
            <wp:extent cx="6372225" cy="6172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6.JPG"/>
                    <pic:cNvPicPr/>
                  </pic:nvPicPr>
                  <pic:blipFill>
                    <a:blip r:embed="rId34">
                      <a:extLst>
                        <a:ext uri="{28A0092B-C50C-407E-A947-70E740481C1C}">
                          <a14:useLocalDpi xmlns:a14="http://schemas.microsoft.com/office/drawing/2010/main" val="0"/>
                        </a:ext>
                      </a:extLst>
                    </a:blip>
                    <a:stretch>
                      <a:fillRect/>
                    </a:stretch>
                  </pic:blipFill>
                  <pic:spPr>
                    <a:xfrm>
                      <a:off x="0" y="0"/>
                      <a:ext cx="6372225" cy="6172200"/>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3015EAC9" wp14:editId="53DCF5B0">
            <wp:extent cx="6362700" cy="6172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7.JPG"/>
                    <pic:cNvPicPr/>
                  </pic:nvPicPr>
                  <pic:blipFill>
                    <a:blip r:embed="rId35">
                      <a:extLst>
                        <a:ext uri="{28A0092B-C50C-407E-A947-70E740481C1C}">
                          <a14:useLocalDpi xmlns:a14="http://schemas.microsoft.com/office/drawing/2010/main" val="0"/>
                        </a:ext>
                      </a:extLst>
                    </a:blip>
                    <a:stretch>
                      <a:fillRect/>
                    </a:stretch>
                  </pic:blipFill>
                  <pic:spPr>
                    <a:xfrm>
                      <a:off x="0" y="0"/>
                      <a:ext cx="6362700" cy="6172200"/>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r>
        <w:rPr>
          <w:noProof/>
          <w:sz w:val="22"/>
          <w:szCs w:val="22"/>
        </w:rPr>
        <w:lastRenderedPageBreak/>
        <w:drawing>
          <wp:inline distT="0" distB="0" distL="0" distR="0" wp14:anchorId="5ECA4484" wp14:editId="10B36528">
            <wp:extent cx="6353175" cy="5800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8.JPG"/>
                    <pic:cNvPicPr/>
                  </pic:nvPicPr>
                  <pic:blipFill>
                    <a:blip r:embed="rId36">
                      <a:extLst>
                        <a:ext uri="{28A0092B-C50C-407E-A947-70E740481C1C}">
                          <a14:useLocalDpi xmlns:a14="http://schemas.microsoft.com/office/drawing/2010/main" val="0"/>
                        </a:ext>
                      </a:extLst>
                    </a:blip>
                    <a:stretch>
                      <a:fillRect/>
                    </a:stretch>
                  </pic:blipFill>
                  <pic:spPr>
                    <a:xfrm>
                      <a:off x="0" y="0"/>
                      <a:ext cx="6353175" cy="5800725"/>
                    </a:xfrm>
                    <a:prstGeom prst="rect">
                      <a:avLst/>
                    </a:prstGeom>
                  </pic:spPr>
                </pic:pic>
              </a:graphicData>
            </a:graphic>
          </wp:inline>
        </w:drawing>
      </w: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Default="00A44D87" w:rsidP="00977B74">
      <w:pPr>
        <w:jc w:val="center"/>
        <w:rPr>
          <w:sz w:val="22"/>
          <w:szCs w:val="22"/>
        </w:rPr>
      </w:pPr>
    </w:p>
    <w:p w:rsidR="00A44D87" w:rsidRPr="00977B74" w:rsidRDefault="00A44D87" w:rsidP="00977B74">
      <w:pPr>
        <w:jc w:val="center"/>
        <w:rPr>
          <w:sz w:val="22"/>
          <w:szCs w:val="22"/>
        </w:rPr>
      </w:pPr>
      <w:r>
        <w:rPr>
          <w:noProof/>
          <w:sz w:val="22"/>
          <w:szCs w:val="22"/>
        </w:rPr>
        <w:lastRenderedPageBreak/>
        <w:drawing>
          <wp:inline distT="0" distB="0" distL="0" distR="0" wp14:anchorId="4D3C63E8" wp14:editId="20D193D9">
            <wp:extent cx="6353175" cy="6924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 FISH APP 9.JPG"/>
                    <pic:cNvPicPr/>
                  </pic:nvPicPr>
                  <pic:blipFill>
                    <a:blip r:embed="rId37">
                      <a:extLst>
                        <a:ext uri="{28A0092B-C50C-407E-A947-70E740481C1C}">
                          <a14:useLocalDpi xmlns:a14="http://schemas.microsoft.com/office/drawing/2010/main" val="0"/>
                        </a:ext>
                      </a:extLst>
                    </a:blip>
                    <a:stretch>
                      <a:fillRect/>
                    </a:stretch>
                  </pic:blipFill>
                  <pic:spPr>
                    <a:xfrm>
                      <a:off x="0" y="0"/>
                      <a:ext cx="6353175" cy="6924675"/>
                    </a:xfrm>
                    <a:prstGeom prst="rect">
                      <a:avLst/>
                    </a:prstGeom>
                  </pic:spPr>
                </pic:pic>
              </a:graphicData>
            </a:graphic>
          </wp:inline>
        </w:drawing>
      </w:r>
    </w:p>
    <w:sectPr w:rsidR="00A44D87" w:rsidRPr="00977B74" w:rsidSect="00790C2E">
      <w:type w:val="continuous"/>
      <w:pgSz w:w="12240" w:h="15840"/>
      <w:pgMar w:top="144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505" w:rsidRDefault="00457505" w:rsidP="00790C2E">
      <w:r>
        <w:separator/>
      </w:r>
    </w:p>
  </w:endnote>
  <w:endnote w:type="continuationSeparator" w:id="0">
    <w:p w:rsidR="00457505" w:rsidRDefault="00457505" w:rsidP="00790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2E" w:rsidRDefault="00790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184372"/>
      <w:docPartObj>
        <w:docPartGallery w:val="Page Numbers (Bottom of Page)"/>
        <w:docPartUnique/>
      </w:docPartObj>
    </w:sdtPr>
    <w:sdtEndPr>
      <w:rPr>
        <w:noProof/>
      </w:rPr>
    </w:sdtEndPr>
    <w:sdtContent>
      <w:p w:rsidR="00790C2E" w:rsidRDefault="00790C2E">
        <w:pPr>
          <w:pStyle w:val="Footer"/>
          <w:jc w:val="center"/>
        </w:pPr>
        <w:r>
          <w:fldChar w:fldCharType="begin"/>
        </w:r>
        <w:r>
          <w:instrText xml:space="preserve"> PAGE   \* MERGEFORMAT </w:instrText>
        </w:r>
        <w:r>
          <w:fldChar w:fldCharType="separate"/>
        </w:r>
        <w:r w:rsidR="00F92F40">
          <w:rPr>
            <w:noProof/>
          </w:rPr>
          <w:t>1</w:t>
        </w:r>
        <w:r>
          <w:rPr>
            <w:noProof/>
          </w:rPr>
          <w:fldChar w:fldCharType="end"/>
        </w:r>
      </w:p>
    </w:sdtContent>
  </w:sdt>
  <w:p w:rsidR="00790C2E" w:rsidRDefault="00790C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2E" w:rsidRDefault="00790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505" w:rsidRDefault="00457505" w:rsidP="00790C2E">
      <w:r>
        <w:separator/>
      </w:r>
    </w:p>
  </w:footnote>
  <w:footnote w:type="continuationSeparator" w:id="0">
    <w:p w:rsidR="00457505" w:rsidRDefault="00457505" w:rsidP="00790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2E" w:rsidRDefault="00790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2E" w:rsidRDefault="00790C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C2E" w:rsidRDefault="00790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F4814"/>
    <w:multiLevelType w:val="hybridMultilevel"/>
    <w:tmpl w:val="B9D25882"/>
    <w:lvl w:ilvl="0" w:tplc="96F6046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574004A7"/>
    <w:multiLevelType w:val="hybridMultilevel"/>
    <w:tmpl w:val="3C9E06F8"/>
    <w:lvl w:ilvl="0" w:tplc="147C2DE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63993B2A"/>
    <w:multiLevelType w:val="hybridMultilevel"/>
    <w:tmpl w:val="ABA8D636"/>
    <w:lvl w:ilvl="0" w:tplc="5198A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B74"/>
    <w:rsid w:val="00033CFF"/>
    <w:rsid w:val="001027D4"/>
    <w:rsid w:val="00127478"/>
    <w:rsid w:val="00136EC0"/>
    <w:rsid w:val="00150999"/>
    <w:rsid w:val="001F28D5"/>
    <w:rsid w:val="003A23A5"/>
    <w:rsid w:val="00402C0B"/>
    <w:rsid w:val="00435068"/>
    <w:rsid w:val="00457505"/>
    <w:rsid w:val="0052296F"/>
    <w:rsid w:val="0057410B"/>
    <w:rsid w:val="00790C2E"/>
    <w:rsid w:val="007A4465"/>
    <w:rsid w:val="0084503B"/>
    <w:rsid w:val="009269B3"/>
    <w:rsid w:val="00977B74"/>
    <w:rsid w:val="00A04EDB"/>
    <w:rsid w:val="00A44D87"/>
    <w:rsid w:val="00BD3778"/>
    <w:rsid w:val="00C11820"/>
    <w:rsid w:val="00CB694A"/>
    <w:rsid w:val="00DA4ADB"/>
    <w:rsid w:val="00DD028F"/>
    <w:rsid w:val="00E72038"/>
    <w:rsid w:val="00F80783"/>
    <w:rsid w:val="00F92F40"/>
    <w:rsid w:val="00FB42A0"/>
    <w:rsid w:val="00FC49FB"/>
    <w:rsid w:val="00FF2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77B74"/>
    <w:rPr>
      <w:rFonts w:ascii="Tahoma" w:hAnsi="Tahoma" w:cs="Tahoma"/>
      <w:sz w:val="16"/>
      <w:szCs w:val="16"/>
    </w:rPr>
  </w:style>
  <w:style w:type="character" w:customStyle="1" w:styleId="BalloonTextChar">
    <w:name w:val="Balloon Text Char"/>
    <w:basedOn w:val="DefaultParagraphFont"/>
    <w:link w:val="BalloonText"/>
    <w:rsid w:val="00977B74"/>
    <w:rPr>
      <w:rFonts w:ascii="Tahoma" w:hAnsi="Tahoma" w:cs="Tahoma"/>
      <w:sz w:val="16"/>
      <w:szCs w:val="16"/>
    </w:rPr>
  </w:style>
  <w:style w:type="paragraph" w:styleId="ListParagraph">
    <w:name w:val="List Paragraph"/>
    <w:basedOn w:val="Normal"/>
    <w:uiPriority w:val="34"/>
    <w:qFormat/>
    <w:rsid w:val="00E72038"/>
    <w:pPr>
      <w:ind w:left="720"/>
      <w:contextualSpacing/>
    </w:pPr>
  </w:style>
  <w:style w:type="paragraph" w:styleId="Header">
    <w:name w:val="header"/>
    <w:basedOn w:val="Normal"/>
    <w:link w:val="HeaderChar"/>
    <w:rsid w:val="00790C2E"/>
    <w:pPr>
      <w:tabs>
        <w:tab w:val="center" w:pos="4680"/>
        <w:tab w:val="right" w:pos="9360"/>
      </w:tabs>
    </w:pPr>
  </w:style>
  <w:style w:type="character" w:customStyle="1" w:styleId="HeaderChar">
    <w:name w:val="Header Char"/>
    <w:basedOn w:val="DefaultParagraphFont"/>
    <w:link w:val="Header"/>
    <w:rsid w:val="00790C2E"/>
  </w:style>
  <w:style w:type="paragraph" w:styleId="Footer">
    <w:name w:val="footer"/>
    <w:basedOn w:val="Normal"/>
    <w:link w:val="FooterChar"/>
    <w:uiPriority w:val="99"/>
    <w:rsid w:val="00790C2E"/>
    <w:pPr>
      <w:tabs>
        <w:tab w:val="center" w:pos="4680"/>
        <w:tab w:val="right" w:pos="9360"/>
      </w:tabs>
    </w:pPr>
  </w:style>
  <w:style w:type="character" w:customStyle="1" w:styleId="FooterChar">
    <w:name w:val="Footer Char"/>
    <w:basedOn w:val="DefaultParagraphFont"/>
    <w:link w:val="Footer"/>
    <w:uiPriority w:val="99"/>
    <w:rsid w:val="00790C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77B74"/>
    <w:rPr>
      <w:rFonts w:ascii="Tahoma" w:hAnsi="Tahoma" w:cs="Tahoma"/>
      <w:sz w:val="16"/>
      <w:szCs w:val="16"/>
    </w:rPr>
  </w:style>
  <w:style w:type="character" w:customStyle="1" w:styleId="BalloonTextChar">
    <w:name w:val="Balloon Text Char"/>
    <w:basedOn w:val="DefaultParagraphFont"/>
    <w:link w:val="BalloonText"/>
    <w:rsid w:val="00977B74"/>
    <w:rPr>
      <w:rFonts w:ascii="Tahoma" w:hAnsi="Tahoma" w:cs="Tahoma"/>
      <w:sz w:val="16"/>
      <w:szCs w:val="16"/>
    </w:rPr>
  </w:style>
  <w:style w:type="paragraph" w:styleId="ListParagraph">
    <w:name w:val="List Paragraph"/>
    <w:basedOn w:val="Normal"/>
    <w:uiPriority w:val="34"/>
    <w:qFormat/>
    <w:rsid w:val="00E72038"/>
    <w:pPr>
      <w:ind w:left="720"/>
      <w:contextualSpacing/>
    </w:pPr>
  </w:style>
  <w:style w:type="paragraph" w:styleId="Header">
    <w:name w:val="header"/>
    <w:basedOn w:val="Normal"/>
    <w:link w:val="HeaderChar"/>
    <w:rsid w:val="00790C2E"/>
    <w:pPr>
      <w:tabs>
        <w:tab w:val="center" w:pos="4680"/>
        <w:tab w:val="right" w:pos="9360"/>
      </w:tabs>
    </w:pPr>
  </w:style>
  <w:style w:type="character" w:customStyle="1" w:styleId="HeaderChar">
    <w:name w:val="Header Char"/>
    <w:basedOn w:val="DefaultParagraphFont"/>
    <w:link w:val="Header"/>
    <w:rsid w:val="00790C2E"/>
  </w:style>
  <w:style w:type="paragraph" w:styleId="Footer">
    <w:name w:val="footer"/>
    <w:basedOn w:val="Normal"/>
    <w:link w:val="FooterChar"/>
    <w:uiPriority w:val="99"/>
    <w:rsid w:val="00790C2E"/>
    <w:pPr>
      <w:tabs>
        <w:tab w:val="center" w:pos="4680"/>
        <w:tab w:val="right" w:pos="9360"/>
      </w:tabs>
    </w:pPr>
  </w:style>
  <w:style w:type="character" w:customStyle="1" w:styleId="FooterChar">
    <w:name w:val="Footer Char"/>
    <w:basedOn w:val="DefaultParagraphFont"/>
    <w:link w:val="Footer"/>
    <w:uiPriority w:val="99"/>
    <w:rsid w:val="00790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28</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Roesler</dc:creator>
  <cp:lastModifiedBy>Craig Roesler</cp:lastModifiedBy>
  <cp:revision>15</cp:revision>
  <dcterms:created xsi:type="dcterms:W3CDTF">2014-02-06T17:07:00Z</dcterms:created>
  <dcterms:modified xsi:type="dcterms:W3CDTF">2014-04-02T20:25:00Z</dcterms:modified>
</cp:coreProperties>
</file>