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785" w:rsidRDefault="00016785">
      <w:pPr>
        <w:rPr>
          <w:b/>
          <w:sz w:val="24"/>
          <w:szCs w:val="24"/>
        </w:rPr>
      </w:pPr>
      <w:r w:rsidRPr="00016785">
        <w:rPr>
          <w:b/>
          <w:sz w:val="24"/>
          <w:szCs w:val="24"/>
        </w:rPr>
        <w:t>West Twin River</w:t>
      </w:r>
      <w:r>
        <w:rPr>
          <w:b/>
          <w:sz w:val="24"/>
          <w:szCs w:val="24"/>
        </w:rPr>
        <w:t>,</w:t>
      </w:r>
      <w:r w:rsidRPr="00016785">
        <w:rPr>
          <w:b/>
          <w:sz w:val="24"/>
          <w:szCs w:val="24"/>
        </w:rPr>
        <w:t xml:space="preserve"> WBIC 87000</w:t>
      </w:r>
    </w:p>
    <w:p w:rsidR="00016785" w:rsidRPr="00016785" w:rsidRDefault="00016785">
      <w:pPr>
        <w:rPr>
          <w:b/>
          <w:sz w:val="24"/>
          <w:szCs w:val="24"/>
        </w:rPr>
      </w:pPr>
    </w:p>
    <w:tbl>
      <w:tblPr>
        <w:tblW w:w="9334" w:type="dxa"/>
        <w:tblCellSpacing w:w="6" w:type="dxa"/>
        <w:tblCellMar>
          <w:left w:w="0" w:type="dxa"/>
          <w:right w:w="0" w:type="dxa"/>
        </w:tblCellMar>
        <w:tblLook w:val="04A0" w:firstRow="1" w:lastRow="0" w:firstColumn="1" w:lastColumn="0" w:noHBand="0" w:noVBand="1"/>
      </w:tblPr>
      <w:tblGrid>
        <w:gridCol w:w="9334"/>
      </w:tblGrid>
      <w:tr w:rsidR="00C556BC" w:rsidRPr="00C556BC" w:rsidTr="0039337A">
        <w:trPr>
          <w:tblCellSpacing w:w="6" w:type="dxa"/>
        </w:trPr>
        <w:tc>
          <w:tcPr>
            <w:tcW w:w="0" w:type="auto"/>
            <w:vAlign w:val="center"/>
            <w:hideMark/>
          </w:tcPr>
          <w:p w:rsidR="00C556BC" w:rsidRPr="0039337A" w:rsidRDefault="00C556BC" w:rsidP="00C556BC">
            <w:pPr>
              <w:rPr>
                <w:color w:val="333333"/>
                <w:sz w:val="24"/>
                <w:szCs w:val="24"/>
              </w:rPr>
            </w:pPr>
            <w:r w:rsidRPr="00C556BC">
              <w:rPr>
                <w:color w:val="333333"/>
                <w:sz w:val="24"/>
                <w:szCs w:val="24"/>
              </w:rPr>
              <w:t>The West Twin River (WBIC = 87000, assessment units 9948, 9949, 9950, 18050, &amp; 18051) is currently on the 303(d) list</w:t>
            </w:r>
            <w:r w:rsidR="00712E01">
              <w:rPr>
                <w:color w:val="333333"/>
                <w:sz w:val="24"/>
                <w:szCs w:val="24"/>
              </w:rPr>
              <w:t xml:space="preserve"> of impaired waters</w:t>
            </w:r>
            <w:r w:rsidRPr="00C556BC">
              <w:rPr>
                <w:color w:val="333333"/>
                <w:sz w:val="24"/>
                <w:szCs w:val="24"/>
              </w:rPr>
              <w:t xml:space="preserve">. </w:t>
            </w:r>
            <w:r w:rsidRPr="0039337A">
              <w:rPr>
                <w:color w:val="333333"/>
                <w:sz w:val="24"/>
                <w:szCs w:val="24"/>
              </w:rPr>
              <w:t xml:space="preserve">This monitoring project was designed to collect additional data to verify impairments and </w:t>
            </w:r>
            <w:r w:rsidR="005550BC" w:rsidRPr="0039337A">
              <w:rPr>
                <w:color w:val="333333"/>
                <w:sz w:val="24"/>
                <w:szCs w:val="24"/>
              </w:rPr>
              <w:t>to be us</w:t>
            </w:r>
            <w:r w:rsidRPr="0039337A">
              <w:rPr>
                <w:color w:val="333333"/>
                <w:sz w:val="24"/>
                <w:szCs w:val="24"/>
              </w:rPr>
              <w:t>ed for assessment purposes</w:t>
            </w:r>
            <w:r w:rsidRPr="00C556BC">
              <w:rPr>
                <w:color w:val="333333"/>
                <w:sz w:val="24"/>
                <w:szCs w:val="24"/>
              </w:rPr>
              <w:t>.</w:t>
            </w:r>
            <w:r w:rsidRPr="0039337A">
              <w:rPr>
                <w:color w:val="333333"/>
                <w:sz w:val="24"/>
                <w:szCs w:val="24"/>
              </w:rPr>
              <w:t xml:space="preserve"> </w:t>
            </w:r>
            <w:r w:rsidR="005550BC" w:rsidRPr="0039337A">
              <w:rPr>
                <w:color w:val="333333"/>
                <w:sz w:val="24"/>
                <w:szCs w:val="24"/>
              </w:rPr>
              <w:t>Monitoring was conducted at seve</w:t>
            </w:r>
            <w:r w:rsidR="00712E01">
              <w:rPr>
                <w:color w:val="333333"/>
                <w:sz w:val="24"/>
                <w:szCs w:val="24"/>
              </w:rPr>
              <w:t>r</w:t>
            </w:r>
            <w:r w:rsidR="005550BC" w:rsidRPr="0039337A">
              <w:rPr>
                <w:color w:val="333333"/>
                <w:sz w:val="24"/>
                <w:szCs w:val="24"/>
              </w:rPr>
              <w:t xml:space="preserve">al locations on the West Twin River between the </w:t>
            </w:r>
            <w:proofErr w:type="gramStart"/>
            <w:r w:rsidR="005550BC" w:rsidRPr="0039337A">
              <w:rPr>
                <w:color w:val="333333"/>
                <w:sz w:val="24"/>
                <w:szCs w:val="24"/>
              </w:rPr>
              <w:t>confluence</w:t>
            </w:r>
            <w:proofErr w:type="gramEnd"/>
            <w:r w:rsidR="005550BC" w:rsidRPr="0039337A">
              <w:rPr>
                <w:color w:val="333333"/>
                <w:sz w:val="24"/>
                <w:szCs w:val="24"/>
              </w:rPr>
              <w:t xml:space="preserve"> with the Devils River</w:t>
            </w:r>
            <w:r w:rsidR="00712E01">
              <w:rPr>
                <w:color w:val="333333"/>
                <w:sz w:val="24"/>
                <w:szCs w:val="24"/>
              </w:rPr>
              <w:t>/</w:t>
            </w:r>
            <w:proofErr w:type="spellStart"/>
            <w:r w:rsidR="005550BC" w:rsidRPr="0039337A">
              <w:rPr>
                <w:color w:val="333333"/>
                <w:sz w:val="24"/>
                <w:szCs w:val="24"/>
              </w:rPr>
              <w:t>Neshota</w:t>
            </w:r>
            <w:proofErr w:type="spellEnd"/>
            <w:r w:rsidR="005550BC" w:rsidRPr="0039337A">
              <w:rPr>
                <w:color w:val="333333"/>
                <w:sz w:val="24"/>
                <w:szCs w:val="24"/>
              </w:rPr>
              <w:t xml:space="preserve"> River downstream to the mouth in Two Rivers. </w:t>
            </w:r>
            <w:r w:rsidRPr="0039337A">
              <w:rPr>
                <w:color w:val="333333"/>
                <w:sz w:val="24"/>
                <w:szCs w:val="24"/>
              </w:rPr>
              <w:t>The following data were collected and uploaded to SWIMS</w:t>
            </w:r>
            <w:r w:rsidR="00712E01">
              <w:rPr>
                <w:color w:val="333333"/>
                <w:sz w:val="24"/>
                <w:szCs w:val="24"/>
              </w:rPr>
              <w:t xml:space="preserve"> and the FH database</w:t>
            </w:r>
            <w:r w:rsidRPr="0039337A">
              <w:rPr>
                <w:color w:val="333333"/>
                <w:sz w:val="24"/>
                <w:szCs w:val="24"/>
              </w:rPr>
              <w:t>:</w:t>
            </w:r>
          </w:p>
          <w:p w:rsidR="00C556BC" w:rsidRPr="0039337A" w:rsidRDefault="00C556BC" w:rsidP="00C556BC">
            <w:pPr>
              <w:pStyle w:val="ListParagraph"/>
              <w:numPr>
                <w:ilvl w:val="0"/>
                <w:numId w:val="1"/>
              </w:numPr>
              <w:rPr>
                <w:color w:val="333333"/>
                <w:sz w:val="24"/>
                <w:szCs w:val="24"/>
              </w:rPr>
            </w:pPr>
            <w:r w:rsidRPr="0039337A">
              <w:rPr>
                <w:color w:val="333333"/>
                <w:sz w:val="24"/>
                <w:szCs w:val="24"/>
              </w:rPr>
              <w:t>Macroinvertebrate samples were collected at six locations in 2008 and 2009.</w:t>
            </w:r>
          </w:p>
          <w:p w:rsidR="00C556BC" w:rsidRPr="0039337A" w:rsidRDefault="00C556BC" w:rsidP="00C556BC">
            <w:pPr>
              <w:pStyle w:val="ListParagraph"/>
              <w:numPr>
                <w:ilvl w:val="0"/>
                <w:numId w:val="1"/>
              </w:numPr>
              <w:rPr>
                <w:color w:val="333333"/>
                <w:sz w:val="24"/>
                <w:szCs w:val="24"/>
              </w:rPr>
            </w:pPr>
            <w:r w:rsidRPr="0039337A">
              <w:rPr>
                <w:color w:val="333333"/>
                <w:sz w:val="24"/>
                <w:szCs w:val="24"/>
              </w:rPr>
              <w:t>Qualitative habitat assessments were completed at five locations in 2011.</w:t>
            </w:r>
          </w:p>
          <w:p w:rsidR="00C556BC" w:rsidRPr="0039337A" w:rsidRDefault="00C556BC" w:rsidP="00C556BC">
            <w:pPr>
              <w:pStyle w:val="ListParagraph"/>
              <w:numPr>
                <w:ilvl w:val="0"/>
                <w:numId w:val="1"/>
              </w:numPr>
              <w:rPr>
                <w:color w:val="333333"/>
                <w:sz w:val="24"/>
                <w:szCs w:val="24"/>
              </w:rPr>
            </w:pPr>
            <w:r w:rsidRPr="0039337A">
              <w:rPr>
                <w:color w:val="333333"/>
                <w:sz w:val="24"/>
                <w:szCs w:val="24"/>
              </w:rPr>
              <w:t>Continuous temperature data was collected in the summer of 2006 at two locations.</w:t>
            </w:r>
          </w:p>
          <w:p w:rsidR="00C556BC" w:rsidRPr="0039337A" w:rsidRDefault="00C556BC" w:rsidP="00C556BC">
            <w:pPr>
              <w:pStyle w:val="ListParagraph"/>
              <w:numPr>
                <w:ilvl w:val="0"/>
                <w:numId w:val="1"/>
              </w:numPr>
              <w:rPr>
                <w:color w:val="333333"/>
                <w:sz w:val="24"/>
                <w:szCs w:val="24"/>
              </w:rPr>
            </w:pPr>
            <w:r w:rsidRPr="0039337A">
              <w:rPr>
                <w:color w:val="333333"/>
                <w:sz w:val="24"/>
                <w:szCs w:val="24"/>
              </w:rPr>
              <w:t>Continuous dissolved oxygen, temperature, pH, and specific conductivity was collected at five locations in July 2011.</w:t>
            </w:r>
          </w:p>
          <w:p w:rsidR="00C556BC" w:rsidRPr="0039337A" w:rsidRDefault="00C556BC" w:rsidP="00C556BC">
            <w:pPr>
              <w:pStyle w:val="ListParagraph"/>
              <w:numPr>
                <w:ilvl w:val="0"/>
                <w:numId w:val="1"/>
              </w:numPr>
              <w:rPr>
                <w:color w:val="333333"/>
                <w:sz w:val="24"/>
                <w:szCs w:val="24"/>
              </w:rPr>
            </w:pPr>
            <w:r w:rsidRPr="0039337A">
              <w:rPr>
                <w:color w:val="333333"/>
                <w:sz w:val="24"/>
                <w:szCs w:val="24"/>
              </w:rPr>
              <w:t>Fish survey was conducted at one location is 2007.</w:t>
            </w:r>
          </w:p>
          <w:p w:rsidR="00C556BC" w:rsidRPr="0039337A" w:rsidRDefault="00C556BC" w:rsidP="00C556BC">
            <w:pPr>
              <w:pStyle w:val="ListParagraph"/>
              <w:numPr>
                <w:ilvl w:val="0"/>
                <w:numId w:val="1"/>
              </w:numPr>
              <w:rPr>
                <w:color w:val="333333"/>
                <w:sz w:val="24"/>
                <w:szCs w:val="24"/>
              </w:rPr>
            </w:pPr>
            <w:r w:rsidRPr="0039337A">
              <w:rPr>
                <w:color w:val="333333"/>
                <w:sz w:val="24"/>
                <w:szCs w:val="24"/>
              </w:rPr>
              <w:t>Water chemistry samples were collected in 2006-2009 and in 2012.</w:t>
            </w:r>
          </w:p>
        </w:tc>
      </w:tr>
    </w:tbl>
    <w:p w:rsidR="006B4F70" w:rsidRPr="0039337A" w:rsidRDefault="006B4F70">
      <w:pPr>
        <w:rPr>
          <w:sz w:val="24"/>
          <w:szCs w:val="24"/>
        </w:rPr>
      </w:pPr>
    </w:p>
    <w:tbl>
      <w:tblPr>
        <w:tblStyle w:val="TableGrid"/>
        <w:tblW w:w="0" w:type="auto"/>
        <w:tblLook w:val="04A0" w:firstRow="1" w:lastRow="0" w:firstColumn="1" w:lastColumn="0" w:noHBand="0" w:noVBand="1"/>
      </w:tblPr>
      <w:tblGrid>
        <w:gridCol w:w="4428"/>
        <w:gridCol w:w="4428"/>
      </w:tblGrid>
      <w:tr w:rsidR="00AD3AC7" w:rsidRPr="0039337A" w:rsidTr="00AD3AC7">
        <w:tc>
          <w:tcPr>
            <w:tcW w:w="4428" w:type="dxa"/>
          </w:tcPr>
          <w:p w:rsidR="00AD3AC7" w:rsidRPr="00712E01" w:rsidRDefault="00712E01" w:rsidP="00712E01">
            <w:pPr>
              <w:rPr>
                <w:b/>
                <w:sz w:val="24"/>
                <w:szCs w:val="24"/>
              </w:rPr>
            </w:pPr>
            <w:r w:rsidRPr="00712E01">
              <w:rPr>
                <w:b/>
                <w:sz w:val="24"/>
                <w:szCs w:val="24"/>
              </w:rPr>
              <w:t xml:space="preserve">West Twin River </w:t>
            </w:r>
            <w:r>
              <w:rPr>
                <w:b/>
                <w:sz w:val="24"/>
                <w:szCs w:val="24"/>
              </w:rPr>
              <w:t>M</w:t>
            </w:r>
            <w:r w:rsidRPr="00712E01">
              <w:rPr>
                <w:b/>
                <w:sz w:val="24"/>
                <w:szCs w:val="24"/>
              </w:rPr>
              <w:t xml:space="preserve">onitoring </w:t>
            </w:r>
            <w:r>
              <w:rPr>
                <w:b/>
                <w:sz w:val="24"/>
                <w:szCs w:val="24"/>
              </w:rPr>
              <w:t>L</w:t>
            </w:r>
            <w:r w:rsidRPr="00712E01">
              <w:rPr>
                <w:b/>
                <w:sz w:val="24"/>
                <w:szCs w:val="24"/>
              </w:rPr>
              <w:t>ocation</w:t>
            </w:r>
            <w:r>
              <w:rPr>
                <w:b/>
                <w:sz w:val="24"/>
                <w:szCs w:val="24"/>
              </w:rPr>
              <w:t>s</w:t>
            </w:r>
          </w:p>
        </w:tc>
        <w:tc>
          <w:tcPr>
            <w:tcW w:w="4428" w:type="dxa"/>
          </w:tcPr>
          <w:p w:rsidR="00AD3AC7" w:rsidRPr="00712E01" w:rsidRDefault="00712E01">
            <w:pPr>
              <w:rPr>
                <w:b/>
                <w:sz w:val="24"/>
                <w:szCs w:val="24"/>
              </w:rPr>
            </w:pPr>
            <w:r w:rsidRPr="00712E01">
              <w:rPr>
                <w:b/>
                <w:sz w:val="24"/>
                <w:szCs w:val="24"/>
              </w:rPr>
              <w:t>Station ID</w:t>
            </w:r>
          </w:p>
        </w:tc>
      </w:tr>
      <w:tr w:rsidR="00712E01" w:rsidRPr="0039337A" w:rsidTr="00AD3AC7">
        <w:tc>
          <w:tcPr>
            <w:tcW w:w="4428" w:type="dxa"/>
          </w:tcPr>
          <w:p w:rsidR="00712E01" w:rsidRPr="0039337A" w:rsidRDefault="00712E01">
            <w:pPr>
              <w:rPr>
                <w:sz w:val="24"/>
                <w:szCs w:val="24"/>
              </w:rPr>
            </w:pPr>
            <w:r w:rsidRPr="0039337A">
              <w:rPr>
                <w:sz w:val="24"/>
                <w:szCs w:val="24"/>
              </w:rPr>
              <w:t>CTH V</w:t>
            </w:r>
          </w:p>
        </w:tc>
        <w:tc>
          <w:tcPr>
            <w:tcW w:w="4428" w:type="dxa"/>
          </w:tcPr>
          <w:p w:rsidR="00712E01" w:rsidRPr="0039337A" w:rsidRDefault="00712E01">
            <w:pPr>
              <w:rPr>
                <w:sz w:val="24"/>
                <w:szCs w:val="24"/>
              </w:rPr>
            </w:pPr>
            <w:r w:rsidRPr="0039337A">
              <w:rPr>
                <w:sz w:val="24"/>
                <w:szCs w:val="24"/>
              </w:rPr>
              <w:t>10029482</w:t>
            </w:r>
          </w:p>
        </w:tc>
      </w:tr>
      <w:tr w:rsidR="00AD3AC7" w:rsidRPr="0039337A" w:rsidTr="00AD3AC7">
        <w:tc>
          <w:tcPr>
            <w:tcW w:w="4428" w:type="dxa"/>
          </w:tcPr>
          <w:p w:rsidR="00AD3AC7" w:rsidRPr="0039337A" w:rsidRDefault="00AD3AC7">
            <w:pPr>
              <w:rPr>
                <w:sz w:val="24"/>
                <w:szCs w:val="24"/>
              </w:rPr>
            </w:pPr>
            <w:r w:rsidRPr="0039337A">
              <w:rPr>
                <w:sz w:val="24"/>
                <w:szCs w:val="24"/>
              </w:rPr>
              <w:t>CTH B</w:t>
            </w:r>
          </w:p>
        </w:tc>
        <w:tc>
          <w:tcPr>
            <w:tcW w:w="4428" w:type="dxa"/>
          </w:tcPr>
          <w:p w:rsidR="00AD3AC7" w:rsidRPr="0039337A" w:rsidRDefault="00AD3AC7" w:rsidP="00016785">
            <w:pPr>
              <w:rPr>
                <w:sz w:val="24"/>
                <w:szCs w:val="24"/>
              </w:rPr>
            </w:pPr>
            <w:r w:rsidRPr="0039337A">
              <w:rPr>
                <w:sz w:val="24"/>
                <w:szCs w:val="24"/>
              </w:rPr>
              <w:t xml:space="preserve">10015808 </w:t>
            </w:r>
            <w:r w:rsidR="00016785">
              <w:rPr>
                <w:sz w:val="24"/>
                <w:szCs w:val="24"/>
              </w:rPr>
              <w:t xml:space="preserve">&amp; </w:t>
            </w:r>
            <w:r w:rsidRPr="0039337A">
              <w:rPr>
                <w:sz w:val="24"/>
                <w:szCs w:val="24"/>
              </w:rPr>
              <w:t>363071</w:t>
            </w:r>
          </w:p>
        </w:tc>
      </w:tr>
      <w:tr w:rsidR="00AD3AC7" w:rsidRPr="0039337A" w:rsidTr="00AD3AC7">
        <w:tc>
          <w:tcPr>
            <w:tcW w:w="4428" w:type="dxa"/>
          </w:tcPr>
          <w:p w:rsidR="00AD3AC7" w:rsidRPr="0039337A" w:rsidRDefault="00AD3AC7">
            <w:pPr>
              <w:rPr>
                <w:sz w:val="24"/>
                <w:szCs w:val="24"/>
              </w:rPr>
            </w:pPr>
            <w:r w:rsidRPr="0039337A">
              <w:rPr>
                <w:sz w:val="24"/>
                <w:szCs w:val="24"/>
              </w:rPr>
              <w:t>CHT Q</w:t>
            </w:r>
          </w:p>
        </w:tc>
        <w:tc>
          <w:tcPr>
            <w:tcW w:w="4428" w:type="dxa"/>
          </w:tcPr>
          <w:p w:rsidR="00AD3AC7" w:rsidRPr="0039337A" w:rsidRDefault="00AD3AC7">
            <w:pPr>
              <w:rPr>
                <w:sz w:val="24"/>
                <w:szCs w:val="24"/>
              </w:rPr>
            </w:pPr>
            <w:r w:rsidRPr="0039337A">
              <w:rPr>
                <w:sz w:val="24"/>
                <w:szCs w:val="24"/>
              </w:rPr>
              <w:t>10016571</w:t>
            </w:r>
          </w:p>
        </w:tc>
      </w:tr>
      <w:tr w:rsidR="00AD3AC7" w:rsidRPr="0039337A" w:rsidTr="00AD3AC7">
        <w:tc>
          <w:tcPr>
            <w:tcW w:w="4428" w:type="dxa"/>
          </w:tcPr>
          <w:p w:rsidR="00AD3AC7" w:rsidRPr="0039337A" w:rsidRDefault="00AD3AC7">
            <w:pPr>
              <w:rPr>
                <w:sz w:val="24"/>
                <w:szCs w:val="24"/>
              </w:rPr>
            </w:pPr>
            <w:r w:rsidRPr="0039337A">
              <w:rPr>
                <w:sz w:val="24"/>
                <w:szCs w:val="24"/>
              </w:rPr>
              <w:t>CTH Z</w:t>
            </w:r>
          </w:p>
        </w:tc>
        <w:tc>
          <w:tcPr>
            <w:tcW w:w="4428" w:type="dxa"/>
          </w:tcPr>
          <w:p w:rsidR="00AD3AC7" w:rsidRPr="0039337A" w:rsidRDefault="00AD3AC7">
            <w:pPr>
              <w:rPr>
                <w:sz w:val="24"/>
                <w:szCs w:val="24"/>
              </w:rPr>
            </w:pPr>
            <w:r w:rsidRPr="00B0414D">
              <w:rPr>
                <w:color w:val="333333"/>
                <w:sz w:val="24"/>
                <w:szCs w:val="24"/>
              </w:rPr>
              <w:t>10012506</w:t>
            </w:r>
          </w:p>
        </w:tc>
      </w:tr>
      <w:tr w:rsidR="00AD3AC7" w:rsidRPr="0039337A" w:rsidTr="00AD3AC7">
        <w:tc>
          <w:tcPr>
            <w:tcW w:w="4428" w:type="dxa"/>
          </w:tcPr>
          <w:p w:rsidR="00AD3AC7" w:rsidRPr="0039337A" w:rsidRDefault="00AD3AC7">
            <w:pPr>
              <w:rPr>
                <w:sz w:val="24"/>
                <w:szCs w:val="24"/>
              </w:rPr>
            </w:pPr>
            <w:r w:rsidRPr="0039337A">
              <w:rPr>
                <w:sz w:val="24"/>
                <w:szCs w:val="24"/>
              </w:rPr>
              <w:t>CTH Y</w:t>
            </w:r>
          </w:p>
        </w:tc>
        <w:tc>
          <w:tcPr>
            <w:tcW w:w="4428" w:type="dxa"/>
          </w:tcPr>
          <w:p w:rsidR="00AD3AC7" w:rsidRPr="0039337A" w:rsidRDefault="00AD3AC7">
            <w:pPr>
              <w:rPr>
                <w:sz w:val="24"/>
                <w:szCs w:val="24"/>
              </w:rPr>
            </w:pPr>
            <w:r w:rsidRPr="00B0414D">
              <w:rPr>
                <w:color w:val="333333"/>
                <w:sz w:val="24"/>
                <w:szCs w:val="24"/>
              </w:rPr>
              <w:t>10029483</w:t>
            </w:r>
          </w:p>
        </w:tc>
      </w:tr>
      <w:tr w:rsidR="00AD3AC7" w:rsidRPr="0039337A" w:rsidTr="00AD3AC7">
        <w:tc>
          <w:tcPr>
            <w:tcW w:w="4428" w:type="dxa"/>
          </w:tcPr>
          <w:p w:rsidR="00AD3AC7" w:rsidRPr="0039337A" w:rsidRDefault="00AD3AC7">
            <w:pPr>
              <w:rPr>
                <w:sz w:val="24"/>
                <w:szCs w:val="24"/>
              </w:rPr>
            </w:pPr>
            <w:r w:rsidRPr="00B0414D">
              <w:rPr>
                <w:color w:val="333333"/>
                <w:sz w:val="24"/>
                <w:szCs w:val="24"/>
              </w:rPr>
              <w:t xml:space="preserve">at </w:t>
            </w:r>
            <w:proofErr w:type="spellStart"/>
            <w:r w:rsidRPr="00B0414D">
              <w:rPr>
                <w:color w:val="333333"/>
                <w:sz w:val="24"/>
                <w:szCs w:val="24"/>
              </w:rPr>
              <w:t>Shoto</w:t>
            </w:r>
            <w:proofErr w:type="spellEnd"/>
            <w:r w:rsidRPr="00B0414D">
              <w:rPr>
                <w:color w:val="333333"/>
                <w:sz w:val="24"/>
                <w:szCs w:val="24"/>
              </w:rPr>
              <w:t xml:space="preserve"> Conservation Club access site below </w:t>
            </w:r>
            <w:proofErr w:type="spellStart"/>
            <w:r w:rsidRPr="00B0414D">
              <w:rPr>
                <w:color w:val="333333"/>
                <w:sz w:val="24"/>
                <w:szCs w:val="24"/>
              </w:rPr>
              <w:t>Shoto</w:t>
            </w:r>
            <w:proofErr w:type="spellEnd"/>
            <w:r w:rsidRPr="00B0414D">
              <w:rPr>
                <w:color w:val="333333"/>
                <w:sz w:val="24"/>
                <w:szCs w:val="24"/>
              </w:rPr>
              <w:t xml:space="preserve"> dam</w:t>
            </w:r>
          </w:p>
        </w:tc>
        <w:tc>
          <w:tcPr>
            <w:tcW w:w="4428" w:type="dxa"/>
          </w:tcPr>
          <w:p w:rsidR="00AD3AC7" w:rsidRPr="0039337A" w:rsidRDefault="00AD3AC7">
            <w:pPr>
              <w:rPr>
                <w:sz w:val="24"/>
                <w:szCs w:val="24"/>
              </w:rPr>
            </w:pPr>
            <w:r w:rsidRPr="00B0414D">
              <w:rPr>
                <w:color w:val="333333"/>
                <w:sz w:val="24"/>
                <w:szCs w:val="24"/>
              </w:rPr>
              <w:t>10034797</w:t>
            </w:r>
          </w:p>
        </w:tc>
      </w:tr>
      <w:tr w:rsidR="00AD3AC7" w:rsidRPr="0039337A" w:rsidTr="00AD3AC7">
        <w:tc>
          <w:tcPr>
            <w:tcW w:w="4428" w:type="dxa"/>
          </w:tcPr>
          <w:p w:rsidR="00AD3AC7" w:rsidRPr="0039337A" w:rsidRDefault="00AD3AC7">
            <w:pPr>
              <w:rPr>
                <w:sz w:val="24"/>
                <w:szCs w:val="24"/>
              </w:rPr>
            </w:pPr>
            <w:r w:rsidRPr="0039337A">
              <w:rPr>
                <w:sz w:val="24"/>
                <w:szCs w:val="24"/>
              </w:rPr>
              <w:t>Maribel Caves County Park</w:t>
            </w:r>
          </w:p>
        </w:tc>
        <w:tc>
          <w:tcPr>
            <w:tcW w:w="4428" w:type="dxa"/>
          </w:tcPr>
          <w:p w:rsidR="00AD3AC7" w:rsidRPr="0039337A" w:rsidRDefault="00AD3AC7">
            <w:pPr>
              <w:rPr>
                <w:sz w:val="24"/>
                <w:szCs w:val="24"/>
              </w:rPr>
            </w:pPr>
            <w:r w:rsidRPr="00B0414D">
              <w:rPr>
                <w:color w:val="333333"/>
                <w:sz w:val="24"/>
                <w:szCs w:val="24"/>
              </w:rPr>
              <w:t>10034796</w:t>
            </w:r>
          </w:p>
        </w:tc>
      </w:tr>
      <w:tr w:rsidR="00AD3AC7" w:rsidRPr="0039337A" w:rsidTr="00AD3AC7">
        <w:tc>
          <w:tcPr>
            <w:tcW w:w="4428" w:type="dxa"/>
          </w:tcPr>
          <w:p w:rsidR="00AD3AC7" w:rsidRPr="0039337A" w:rsidRDefault="00AD3AC7">
            <w:pPr>
              <w:rPr>
                <w:sz w:val="24"/>
                <w:szCs w:val="24"/>
              </w:rPr>
            </w:pPr>
            <w:proofErr w:type="spellStart"/>
            <w:r w:rsidRPr="0039337A">
              <w:rPr>
                <w:sz w:val="24"/>
                <w:szCs w:val="24"/>
              </w:rPr>
              <w:t>Melnik</w:t>
            </w:r>
            <w:proofErr w:type="spellEnd"/>
            <w:r w:rsidRPr="0039337A">
              <w:rPr>
                <w:sz w:val="24"/>
                <w:szCs w:val="24"/>
              </w:rPr>
              <w:t xml:space="preserve"> Road</w:t>
            </w:r>
          </w:p>
        </w:tc>
        <w:tc>
          <w:tcPr>
            <w:tcW w:w="4428" w:type="dxa"/>
          </w:tcPr>
          <w:p w:rsidR="00AD3AC7" w:rsidRPr="0039337A" w:rsidRDefault="00AD3AC7">
            <w:pPr>
              <w:rPr>
                <w:sz w:val="24"/>
                <w:szCs w:val="24"/>
              </w:rPr>
            </w:pPr>
            <w:r w:rsidRPr="00B0414D">
              <w:rPr>
                <w:color w:val="333333"/>
                <w:sz w:val="24"/>
                <w:szCs w:val="24"/>
              </w:rPr>
              <w:t>10009868</w:t>
            </w:r>
          </w:p>
        </w:tc>
      </w:tr>
    </w:tbl>
    <w:p w:rsidR="00AD3AC7" w:rsidRDefault="00AD3AC7">
      <w:pPr>
        <w:rPr>
          <w:sz w:val="24"/>
          <w:szCs w:val="24"/>
        </w:rPr>
      </w:pPr>
    </w:p>
    <w:p w:rsidR="00D16632" w:rsidRPr="0039337A" w:rsidRDefault="00D16632">
      <w:pPr>
        <w:rPr>
          <w:sz w:val="24"/>
          <w:szCs w:val="24"/>
        </w:rPr>
      </w:pPr>
      <w:bookmarkStart w:id="0" w:name="_GoBack"/>
      <w:bookmarkEnd w:id="0"/>
      <w:r>
        <w:rPr>
          <w:sz w:val="24"/>
          <w:szCs w:val="24"/>
        </w:rPr>
        <w:t>These new data along with existing chemical, physical and biological data will be used to assess the current condition of the West Twin River and will be used for future impairment assessments.</w:t>
      </w:r>
    </w:p>
    <w:sectPr w:rsidR="00D16632" w:rsidRPr="0039337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F175F8"/>
    <w:multiLevelType w:val="hybridMultilevel"/>
    <w:tmpl w:val="F99C6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6BC"/>
    <w:rsid w:val="00016785"/>
    <w:rsid w:val="00235AA3"/>
    <w:rsid w:val="0039337A"/>
    <w:rsid w:val="00463E79"/>
    <w:rsid w:val="005550BC"/>
    <w:rsid w:val="006B3E6C"/>
    <w:rsid w:val="006B4F70"/>
    <w:rsid w:val="00712E01"/>
    <w:rsid w:val="0087267D"/>
    <w:rsid w:val="00AD3AC7"/>
    <w:rsid w:val="00B0414D"/>
    <w:rsid w:val="00BA146B"/>
    <w:rsid w:val="00C556BC"/>
    <w:rsid w:val="00C62CF0"/>
    <w:rsid w:val="00D16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146B"/>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56BC"/>
    <w:pPr>
      <w:ind w:left="720"/>
      <w:contextualSpacing/>
    </w:pPr>
  </w:style>
  <w:style w:type="paragraph" w:styleId="BalloonText">
    <w:name w:val="Balloon Text"/>
    <w:basedOn w:val="Normal"/>
    <w:link w:val="BalloonTextChar"/>
    <w:rsid w:val="00B0414D"/>
    <w:rPr>
      <w:rFonts w:ascii="Tahoma" w:hAnsi="Tahoma" w:cs="Tahoma"/>
      <w:sz w:val="16"/>
      <w:szCs w:val="16"/>
    </w:rPr>
  </w:style>
  <w:style w:type="character" w:customStyle="1" w:styleId="BalloonTextChar">
    <w:name w:val="Balloon Text Char"/>
    <w:basedOn w:val="DefaultParagraphFont"/>
    <w:link w:val="BalloonText"/>
    <w:rsid w:val="00B0414D"/>
    <w:rPr>
      <w:rFonts w:ascii="Tahoma" w:hAnsi="Tahoma" w:cs="Tahoma"/>
      <w:sz w:val="16"/>
      <w:szCs w:val="16"/>
    </w:rPr>
  </w:style>
  <w:style w:type="table" w:styleId="TableGrid">
    <w:name w:val="Table Grid"/>
    <w:basedOn w:val="TableNormal"/>
    <w:rsid w:val="00AD3A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146B"/>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56BC"/>
    <w:pPr>
      <w:ind w:left="720"/>
      <w:contextualSpacing/>
    </w:pPr>
  </w:style>
  <w:style w:type="paragraph" w:styleId="BalloonText">
    <w:name w:val="Balloon Text"/>
    <w:basedOn w:val="Normal"/>
    <w:link w:val="BalloonTextChar"/>
    <w:rsid w:val="00B0414D"/>
    <w:rPr>
      <w:rFonts w:ascii="Tahoma" w:hAnsi="Tahoma" w:cs="Tahoma"/>
      <w:sz w:val="16"/>
      <w:szCs w:val="16"/>
    </w:rPr>
  </w:style>
  <w:style w:type="character" w:customStyle="1" w:styleId="BalloonTextChar">
    <w:name w:val="Balloon Text Char"/>
    <w:basedOn w:val="DefaultParagraphFont"/>
    <w:link w:val="BalloonText"/>
    <w:rsid w:val="00B0414D"/>
    <w:rPr>
      <w:rFonts w:ascii="Tahoma" w:hAnsi="Tahoma" w:cs="Tahoma"/>
      <w:sz w:val="16"/>
      <w:szCs w:val="16"/>
    </w:rPr>
  </w:style>
  <w:style w:type="table" w:styleId="TableGrid">
    <w:name w:val="Table Grid"/>
    <w:basedOn w:val="TableNormal"/>
    <w:rsid w:val="00AD3A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218</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Wisconsin DNR</Company>
  <LinksUpToDate>false</LinksUpToDate>
  <CharactersWithSpaces>1459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Gansberg</dc:creator>
  <cp:lastModifiedBy>Mary Gansberg</cp:lastModifiedBy>
  <cp:revision>8</cp:revision>
  <dcterms:created xsi:type="dcterms:W3CDTF">2014-05-14T19:24:00Z</dcterms:created>
  <dcterms:modified xsi:type="dcterms:W3CDTF">2014-05-14T20:40:00Z</dcterms:modified>
</cp:coreProperties>
</file>